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DA647" w14:textId="2F260328" w:rsidR="00C73699" w:rsidRDefault="00B96F9F" w:rsidP="00C73699">
      <w:pPr>
        <w:pStyle w:val="Ttulo2"/>
      </w:pPr>
      <w:r w:rsidRPr="00DA328E">
        <w:t>SISTEMA DE AGUA POTABLE Y ALCANTARILLADO DEL MUNICIPIO DE TLALPUJAHUA, MICHOACÁN</w:t>
      </w:r>
    </w:p>
    <w:p w14:paraId="6053EB06" w14:textId="77777777" w:rsidR="00B96F9F" w:rsidRPr="00B96F9F" w:rsidRDefault="00B96F9F" w:rsidP="00B96F9F">
      <w:pPr>
        <w:rPr>
          <w:lang w:val="es-MX"/>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6661A3CE"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w:t>
      </w:r>
      <w:r w:rsidR="00B96F9F" w:rsidRPr="00DA328E">
        <w:rPr>
          <w:rFonts w:eastAsiaTheme="minorHAnsi"/>
          <w:lang w:eastAsia="en-US"/>
        </w:rPr>
        <w:t>Sistema de Agua Potable y Alcantarillado de Municipio de Tlalpujahua</w:t>
      </w:r>
      <w:r w:rsidRPr="00DA328E">
        <w:rPr>
          <w:rFonts w:eastAsiaTheme="minorHAnsi"/>
          <w:lang w:eastAsia="en-US"/>
        </w:rPr>
        <w:t>, Michoacán</w:t>
      </w:r>
      <w:r w:rsidRPr="00115E09">
        <w:rPr>
          <w:rFonts w:eastAsiaTheme="minorHAnsi"/>
          <w:lang w:eastAsia="en-US"/>
        </w:rPr>
        <w:t>,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4D849799" w14:textId="77777777" w:rsidR="00C73699" w:rsidRPr="004E2BFC" w:rsidRDefault="00C73699" w:rsidP="00C73699">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72B8AE1B" w14:textId="77777777" w:rsidR="00C73699" w:rsidRDefault="00C73699"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DA328E" w14:paraId="6EB9DBC8" w14:textId="77777777" w:rsidTr="006C6135">
        <w:tc>
          <w:tcPr>
            <w:tcW w:w="4820" w:type="dxa"/>
          </w:tcPr>
          <w:p w14:paraId="0D8EBA16" w14:textId="77777777" w:rsidR="00C73699" w:rsidRPr="00DA328E" w:rsidRDefault="00C73699" w:rsidP="006C6135">
            <w:pPr>
              <w:spacing w:line="0" w:lineRule="atLeast"/>
              <w:rPr>
                <w:rFonts w:cs="Arial"/>
                <w:lang w:val="es-MX" w:eastAsia="es-MX"/>
              </w:rPr>
            </w:pPr>
            <w:r w:rsidRPr="00DA328E">
              <w:rPr>
                <w:rFonts w:cs="Arial"/>
                <w:lang w:val="es-MX" w:eastAsia="es-MX"/>
              </w:rPr>
              <w:t>Universo</w:t>
            </w:r>
          </w:p>
          <w:p w14:paraId="3785931E" w14:textId="77777777" w:rsidR="00C73699" w:rsidRPr="00DA328E" w:rsidRDefault="00C73699" w:rsidP="006C6135">
            <w:pPr>
              <w:spacing w:line="0" w:lineRule="atLeast"/>
              <w:rPr>
                <w:rFonts w:cs="Arial"/>
                <w:b/>
                <w:lang w:val="es-MX" w:eastAsia="es-MX"/>
              </w:rPr>
            </w:pPr>
          </w:p>
        </w:tc>
        <w:tc>
          <w:tcPr>
            <w:tcW w:w="567" w:type="dxa"/>
          </w:tcPr>
          <w:p w14:paraId="1A69B76C" w14:textId="77777777" w:rsidR="00C73699" w:rsidRPr="00DA328E" w:rsidRDefault="00C73699" w:rsidP="006C6135">
            <w:pPr>
              <w:spacing w:line="0" w:lineRule="atLeast"/>
              <w:rPr>
                <w:rFonts w:cs="Arial"/>
                <w:b/>
                <w:lang w:val="es-MX" w:eastAsia="es-MX"/>
              </w:rPr>
            </w:pPr>
          </w:p>
        </w:tc>
        <w:tc>
          <w:tcPr>
            <w:tcW w:w="1560" w:type="dxa"/>
          </w:tcPr>
          <w:p w14:paraId="64AE75AF" w14:textId="5D8FDE8F" w:rsidR="00C73699" w:rsidRPr="00DA328E" w:rsidRDefault="00CA22F3" w:rsidP="006C6135">
            <w:pPr>
              <w:spacing w:line="0" w:lineRule="atLeast"/>
              <w:jc w:val="right"/>
              <w:rPr>
                <w:rFonts w:cs="Arial"/>
                <w:b/>
                <w:lang w:val="es-MX" w:eastAsia="es-MX"/>
              </w:rPr>
            </w:pPr>
            <w:r w:rsidRPr="00DA328E">
              <w:rPr>
                <w:rFonts w:cs="Arial"/>
                <w:lang w:val="es-MX" w:eastAsia="es-MX"/>
              </w:rPr>
              <w:t>5,359,739</w:t>
            </w:r>
          </w:p>
        </w:tc>
        <w:tc>
          <w:tcPr>
            <w:tcW w:w="1560" w:type="dxa"/>
          </w:tcPr>
          <w:p w14:paraId="13E5B768" w14:textId="77777777" w:rsidR="00C73699" w:rsidRPr="00DA328E" w:rsidRDefault="00C73699" w:rsidP="006C6135">
            <w:pPr>
              <w:spacing w:line="0" w:lineRule="atLeast"/>
              <w:rPr>
                <w:rFonts w:cs="Arial"/>
                <w:lang w:val="es-MX" w:eastAsia="es-MX"/>
              </w:rPr>
            </w:pPr>
            <w:r w:rsidRPr="00DA328E">
              <w:rPr>
                <w:rFonts w:cs="Arial"/>
                <w:lang w:val="es-MX" w:eastAsia="es-MX"/>
              </w:rPr>
              <w:t>Pesos</w:t>
            </w:r>
          </w:p>
        </w:tc>
      </w:tr>
      <w:tr w:rsidR="00C73699" w:rsidRPr="00DA328E" w14:paraId="0D98960C" w14:textId="77777777" w:rsidTr="006C6135">
        <w:tc>
          <w:tcPr>
            <w:tcW w:w="4820" w:type="dxa"/>
          </w:tcPr>
          <w:p w14:paraId="6B31810A" w14:textId="77777777" w:rsidR="00C73699" w:rsidRPr="00DA328E" w:rsidRDefault="00C73699" w:rsidP="006C6135">
            <w:pPr>
              <w:spacing w:line="0" w:lineRule="atLeast"/>
              <w:rPr>
                <w:rFonts w:cs="Arial"/>
                <w:szCs w:val="22"/>
                <w:lang w:eastAsia="es-MX"/>
              </w:rPr>
            </w:pPr>
            <w:r w:rsidRPr="00DA328E">
              <w:rPr>
                <w:rFonts w:cs="Arial"/>
                <w:szCs w:val="22"/>
                <w:lang w:eastAsia="es-MX"/>
              </w:rPr>
              <w:t xml:space="preserve">Recurso Fiscales e Ingresos Propios </w:t>
            </w:r>
          </w:p>
          <w:p w14:paraId="6530405C" w14:textId="77777777" w:rsidR="00C73699" w:rsidRPr="00DA328E" w:rsidRDefault="00C73699" w:rsidP="006C6135">
            <w:pPr>
              <w:spacing w:line="0" w:lineRule="atLeast"/>
              <w:rPr>
                <w:rFonts w:cs="Arial"/>
                <w:szCs w:val="22"/>
                <w:lang w:eastAsia="es-MX"/>
              </w:rPr>
            </w:pPr>
            <w:r w:rsidRPr="00DA328E">
              <w:rPr>
                <w:rFonts w:cs="Arial"/>
                <w:szCs w:val="22"/>
                <w:lang w:eastAsia="es-MX"/>
              </w:rPr>
              <w:t>(Ingresos de Gestión)</w:t>
            </w:r>
          </w:p>
        </w:tc>
        <w:tc>
          <w:tcPr>
            <w:tcW w:w="567" w:type="dxa"/>
          </w:tcPr>
          <w:p w14:paraId="072200A3" w14:textId="77777777" w:rsidR="00C73699" w:rsidRPr="00DA328E" w:rsidRDefault="00C73699" w:rsidP="006C6135">
            <w:pPr>
              <w:spacing w:line="0" w:lineRule="atLeast"/>
              <w:rPr>
                <w:rFonts w:cs="Arial"/>
                <w:b/>
                <w:lang w:val="es-MX" w:eastAsia="es-MX"/>
              </w:rPr>
            </w:pPr>
          </w:p>
        </w:tc>
        <w:tc>
          <w:tcPr>
            <w:tcW w:w="1560" w:type="dxa"/>
          </w:tcPr>
          <w:p w14:paraId="3E7F2051" w14:textId="7D069F91" w:rsidR="00C73699" w:rsidRPr="00DA328E" w:rsidRDefault="00B96F9F" w:rsidP="006C6135">
            <w:pPr>
              <w:spacing w:line="0" w:lineRule="atLeast"/>
              <w:jc w:val="right"/>
              <w:rPr>
                <w:rFonts w:cs="Arial"/>
                <w:lang w:val="es-MX" w:eastAsia="es-MX"/>
              </w:rPr>
            </w:pPr>
            <w:r w:rsidRPr="00DA328E">
              <w:rPr>
                <w:rFonts w:cs="Arial"/>
                <w:lang w:val="es-MX" w:eastAsia="es-MX"/>
              </w:rPr>
              <w:t>5,359,739</w:t>
            </w:r>
          </w:p>
        </w:tc>
        <w:tc>
          <w:tcPr>
            <w:tcW w:w="1560" w:type="dxa"/>
          </w:tcPr>
          <w:p w14:paraId="2E07989F" w14:textId="77777777" w:rsidR="00C73699" w:rsidRPr="00DA328E" w:rsidRDefault="00C73699" w:rsidP="006C6135">
            <w:pPr>
              <w:spacing w:line="0" w:lineRule="atLeast"/>
              <w:rPr>
                <w:rFonts w:cs="Arial"/>
                <w:lang w:val="es-MX" w:eastAsia="es-MX"/>
              </w:rPr>
            </w:pPr>
            <w:r w:rsidRPr="00DA328E">
              <w:rPr>
                <w:rFonts w:cs="Arial"/>
                <w:lang w:val="es-MX" w:eastAsia="es-MX"/>
              </w:rPr>
              <w:t>Pesos</w:t>
            </w:r>
          </w:p>
          <w:p w14:paraId="7476D364" w14:textId="77777777" w:rsidR="00C73699" w:rsidRPr="00DA328E" w:rsidRDefault="00C73699" w:rsidP="006C6135">
            <w:pPr>
              <w:spacing w:line="0" w:lineRule="atLeast"/>
              <w:rPr>
                <w:rFonts w:cs="Arial"/>
                <w:lang w:val="es-MX" w:eastAsia="es-MX"/>
              </w:rPr>
            </w:pPr>
          </w:p>
        </w:tc>
      </w:tr>
    </w:tbl>
    <w:p w14:paraId="31C1016F" w14:textId="77777777" w:rsidR="00C73699" w:rsidRPr="00B96F9F" w:rsidRDefault="00C73699" w:rsidP="00C73699">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DA328E" w14:paraId="1810A7B5" w14:textId="77777777" w:rsidTr="006C6135">
        <w:tc>
          <w:tcPr>
            <w:tcW w:w="4820" w:type="dxa"/>
          </w:tcPr>
          <w:p w14:paraId="5460C635" w14:textId="77777777" w:rsidR="00C73699" w:rsidRPr="00DA328E" w:rsidRDefault="00C73699" w:rsidP="006C6135">
            <w:pPr>
              <w:spacing w:line="0" w:lineRule="atLeast"/>
              <w:rPr>
                <w:rFonts w:cs="Arial"/>
                <w:b/>
                <w:lang w:val="es-MX" w:eastAsia="es-MX"/>
              </w:rPr>
            </w:pPr>
            <w:proofErr w:type="gramStart"/>
            <w:r w:rsidRPr="00DA328E">
              <w:rPr>
                <w:rFonts w:cs="Arial"/>
                <w:lang w:val="es-MX" w:eastAsia="es-MX"/>
              </w:rPr>
              <w:t>Universo a Fiscalizar</w:t>
            </w:r>
            <w:proofErr w:type="gramEnd"/>
          </w:p>
        </w:tc>
        <w:tc>
          <w:tcPr>
            <w:tcW w:w="567" w:type="dxa"/>
          </w:tcPr>
          <w:p w14:paraId="1FA0B2A7" w14:textId="77777777" w:rsidR="00C73699" w:rsidRPr="00DA328E" w:rsidRDefault="00C73699" w:rsidP="006C6135">
            <w:pPr>
              <w:spacing w:line="0" w:lineRule="atLeast"/>
              <w:rPr>
                <w:rFonts w:cs="Arial"/>
                <w:b/>
                <w:lang w:val="es-MX" w:eastAsia="es-MX"/>
              </w:rPr>
            </w:pPr>
          </w:p>
        </w:tc>
        <w:tc>
          <w:tcPr>
            <w:tcW w:w="1560" w:type="dxa"/>
          </w:tcPr>
          <w:p w14:paraId="72F26A83" w14:textId="7FEB3D5A" w:rsidR="00C73699" w:rsidRPr="00DA328E" w:rsidRDefault="00B96F9F" w:rsidP="006C6135">
            <w:pPr>
              <w:spacing w:line="0" w:lineRule="atLeast"/>
              <w:jc w:val="right"/>
              <w:rPr>
                <w:rFonts w:cs="Arial"/>
                <w:b/>
                <w:lang w:val="es-MX" w:eastAsia="es-MX"/>
              </w:rPr>
            </w:pPr>
            <w:r w:rsidRPr="00DA328E">
              <w:rPr>
                <w:rFonts w:cs="Arial"/>
                <w:lang w:val="es-MX" w:eastAsia="es-MX"/>
              </w:rPr>
              <w:t>5,359,739</w:t>
            </w:r>
          </w:p>
        </w:tc>
        <w:tc>
          <w:tcPr>
            <w:tcW w:w="1560" w:type="dxa"/>
          </w:tcPr>
          <w:p w14:paraId="58ED061F" w14:textId="77777777" w:rsidR="00C73699" w:rsidRPr="00DA328E" w:rsidRDefault="00C73699" w:rsidP="006C6135">
            <w:pPr>
              <w:spacing w:line="0" w:lineRule="atLeast"/>
              <w:rPr>
                <w:rFonts w:cs="Arial"/>
                <w:lang w:val="es-MX" w:eastAsia="es-MX"/>
              </w:rPr>
            </w:pPr>
            <w:r w:rsidRPr="00DA328E">
              <w:rPr>
                <w:rFonts w:cs="Arial"/>
                <w:lang w:val="es-MX" w:eastAsia="es-MX"/>
              </w:rPr>
              <w:t>Pesos</w:t>
            </w:r>
          </w:p>
        </w:tc>
      </w:tr>
      <w:tr w:rsidR="00C73699" w:rsidRPr="00DA328E" w14:paraId="48D47CD0" w14:textId="77777777" w:rsidTr="006C6135">
        <w:tc>
          <w:tcPr>
            <w:tcW w:w="4820" w:type="dxa"/>
          </w:tcPr>
          <w:p w14:paraId="51FE996E" w14:textId="77777777" w:rsidR="00C73699" w:rsidRPr="00DA328E" w:rsidRDefault="00C73699" w:rsidP="006C6135">
            <w:pPr>
              <w:spacing w:line="0" w:lineRule="atLeast"/>
              <w:rPr>
                <w:rFonts w:cs="Arial"/>
                <w:b/>
                <w:lang w:val="es-MX" w:eastAsia="es-MX"/>
              </w:rPr>
            </w:pPr>
            <w:r w:rsidRPr="00DA328E">
              <w:rPr>
                <w:rFonts w:cs="Arial"/>
                <w:lang w:val="es-MX" w:eastAsia="es-MX"/>
              </w:rPr>
              <w:t>Muestra Auditada</w:t>
            </w:r>
          </w:p>
        </w:tc>
        <w:tc>
          <w:tcPr>
            <w:tcW w:w="567" w:type="dxa"/>
          </w:tcPr>
          <w:p w14:paraId="2F50E029" w14:textId="77777777" w:rsidR="00C73699" w:rsidRPr="00DA328E" w:rsidRDefault="00C73699" w:rsidP="006C6135">
            <w:pPr>
              <w:spacing w:line="0" w:lineRule="atLeast"/>
              <w:rPr>
                <w:rFonts w:cs="Arial"/>
                <w:b/>
                <w:lang w:val="es-MX" w:eastAsia="es-MX"/>
              </w:rPr>
            </w:pPr>
          </w:p>
        </w:tc>
        <w:tc>
          <w:tcPr>
            <w:tcW w:w="1560" w:type="dxa"/>
          </w:tcPr>
          <w:p w14:paraId="4CB45E82" w14:textId="7A91143D" w:rsidR="00C73699" w:rsidRPr="00DA328E" w:rsidRDefault="00B96F9F" w:rsidP="006C6135">
            <w:pPr>
              <w:spacing w:line="0" w:lineRule="atLeast"/>
              <w:jc w:val="right"/>
              <w:rPr>
                <w:rFonts w:cs="Arial"/>
                <w:lang w:val="es-MX" w:eastAsia="es-MX"/>
              </w:rPr>
            </w:pPr>
            <w:r w:rsidRPr="00DA328E">
              <w:rPr>
                <w:rFonts w:cs="Arial"/>
                <w:lang w:val="es-MX" w:eastAsia="es-MX"/>
              </w:rPr>
              <w:t>2,070,466</w:t>
            </w:r>
          </w:p>
        </w:tc>
        <w:tc>
          <w:tcPr>
            <w:tcW w:w="1560" w:type="dxa"/>
          </w:tcPr>
          <w:p w14:paraId="3E9A845B" w14:textId="77777777" w:rsidR="00C73699" w:rsidRPr="00DA328E" w:rsidRDefault="00C73699" w:rsidP="006C6135">
            <w:pPr>
              <w:spacing w:line="0" w:lineRule="atLeast"/>
              <w:rPr>
                <w:rFonts w:cs="Arial"/>
                <w:b/>
                <w:lang w:val="es-MX" w:eastAsia="es-MX"/>
              </w:rPr>
            </w:pPr>
            <w:r w:rsidRPr="00DA328E">
              <w:rPr>
                <w:rFonts w:cs="Arial"/>
                <w:lang w:val="es-MX" w:eastAsia="es-MX"/>
              </w:rPr>
              <w:t>Pesos</w:t>
            </w:r>
          </w:p>
        </w:tc>
      </w:tr>
      <w:tr w:rsidR="00C73699" w:rsidRPr="00115E09" w14:paraId="45AE4744" w14:textId="77777777" w:rsidTr="006C6135">
        <w:tc>
          <w:tcPr>
            <w:tcW w:w="4820" w:type="dxa"/>
          </w:tcPr>
          <w:p w14:paraId="1AC504AB" w14:textId="77777777" w:rsidR="00C73699" w:rsidRPr="00DA328E" w:rsidRDefault="00C73699" w:rsidP="006C6135">
            <w:pPr>
              <w:spacing w:line="0" w:lineRule="atLeast"/>
              <w:ind w:left="459" w:hanging="459"/>
              <w:rPr>
                <w:rFonts w:cs="Arial"/>
                <w:lang w:val="es-MX" w:eastAsia="es-MX"/>
              </w:rPr>
            </w:pPr>
            <w:r w:rsidRPr="00DA328E">
              <w:rPr>
                <w:rFonts w:cs="Arial"/>
                <w:lang w:val="es-MX" w:eastAsia="es-MX"/>
              </w:rPr>
              <w:t>Representatividad de la muestra</w:t>
            </w:r>
          </w:p>
          <w:p w14:paraId="1350C414" w14:textId="77777777" w:rsidR="00C73699" w:rsidRPr="00DA328E" w:rsidRDefault="00C73699" w:rsidP="006C6135">
            <w:pPr>
              <w:spacing w:line="0" w:lineRule="atLeast"/>
              <w:ind w:left="459" w:hanging="459"/>
              <w:rPr>
                <w:rFonts w:cs="Arial"/>
                <w:b/>
                <w:lang w:val="es-MX" w:eastAsia="es-MX"/>
              </w:rPr>
            </w:pPr>
          </w:p>
        </w:tc>
        <w:tc>
          <w:tcPr>
            <w:tcW w:w="567" w:type="dxa"/>
          </w:tcPr>
          <w:p w14:paraId="1C7EF056" w14:textId="77777777" w:rsidR="00C73699" w:rsidRPr="00DA328E" w:rsidRDefault="00C73699" w:rsidP="006C6135">
            <w:pPr>
              <w:spacing w:line="0" w:lineRule="atLeast"/>
              <w:rPr>
                <w:rFonts w:cs="Arial"/>
                <w:b/>
                <w:lang w:val="es-MX" w:eastAsia="es-MX"/>
              </w:rPr>
            </w:pPr>
          </w:p>
        </w:tc>
        <w:tc>
          <w:tcPr>
            <w:tcW w:w="1560" w:type="dxa"/>
          </w:tcPr>
          <w:p w14:paraId="4CD6C824" w14:textId="2AC2691D" w:rsidR="00C73699" w:rsidRPr="00DA328E" w:rsidRDefault="00B96F9F" w:rsidP="006C6135">
            <w:pPr>
              <w:spacing w:line="0" w:lineRule="atLeast"/>
              <w:jc w:val="right"/>
              <w:rPr>
                <w:rFonts w:cs="Arial"/>
                <w:lang w:val="es-MX" w:eastAsia="es-MX"/>
              </w:rPr>
            </w:pPr>
            <w:r w:rsidRPr="00DA328E">
              <w:rPr>
                <w:rFonts w:cs="Arial"/>
                <w:lang w:val="es-MX" w:eastAsia="es-MX"/>
              </w:rPr>
              <w:t>39</w:t>
            </w:r>
          </w:p>
        </w:tc>
        <w:tc>
          <w:tcPr>
            <w:tcW w:w="1560" w:type="dxa"/>
          </w:tcPr>
          <w:p w14:paraId="66C8F00E" w14:textId="77777777" w:rsidR="00C73699" w:rsidRPr="00DF42D0" w:rsidRDefault="00C73699" w:rsidP="006C6135">
            <w:pPr>
              <w:spacing w:line="0" w:lineRule="atLeast"/>
              <w:rPr>
                <w:rFonts w:cs="Arial"/>
                <w:b/>
                <w:lang w:val="es-MX" w:eastAsia="es-MX"/>
              </w:rPr>
            </w:pPr>
            <w:r w:rsidRPr="00DA328E">
              <w:rPr>
                <w:rFonts w:cs="Arial"/>
                <w:lang w:val="es-MX" w:eastAsia="es-MX"/>
              </w:rPr>
              <w:t>Por ciento</w:t>
            </w:r>
          </w:p>
        </w:tc>
      </w:tr>
    </w:tbl>
    <w:p w14:paraId="550B180A" w14:textId="48C704C0" w:rsidR="00C73699" w:rsidRDefault="00165E78" w:rsidP="00C73699">
      <w:pPr>
        <w:rPr>
          <w:rFonts w:cs="Arial"/>
          <w:szCs w:val="22"/>
        </w:rPr>
      </w:pPr>
      <w:r w:rsidRPr="00A265A0">
        <w:rPr>
          <w:rFonts w:cs="Arial"/>
          <w:szCs w:val="22"/>
        </w:rPr>
        <w:lastRenderedPageBreak/>
        <w:t xml:space="preserve">De los ingresos obtenidos, se </w:t>
      </w:r>
      <w:r w:rsidRPr="00CA22F3">
        <w:rPr>
          <w:rFonts w:cs="Arial"/>
          <w:szCs w:val="22"/>
        </w:rPr>
        <w:t>conoció que la Entidad Fiscalizada durante el ejercicio sujeto a revisión, ejerció la cantidad de 5 millones 359 mil 739 pesos, de los cuales</w:t>
      </w:r>
      <w:r w:rsidR="00CA22F3" w:rsidRPr="00CA22F3">
        <w:rPr>
          <w:rFonts w:cs="Arial"/>
          <w:szCs w:val="22"/>
        </w:rPr>
        <w:t xml:space="preserve"> la muestra auditada fue de un 4</w:t>
      </w:r>
      <w:r w:rsidRPr="00CA22F3">
        <w:rPr>
          <w:rFonts w:cs="Arial"/>
          <w:szCs w:val="22"/>
        </w:rPr>
        <w:t>9 por ciento</w:t>
      </w:r>
      <w:r w:rsidR="00C73699" w:rsidRPr="00CA22F3">
        <w:rPr>
          <w:rFonts w:cs="Arial"/>
          <w:szCs w:val="22"/>
        </w:rPr>
        <w:t>.</w:t>
      </w: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C73699">
      <w:pPr>
        <w:rPr>
          <w:rFonts w:cs="Arial"/>
          <w:szCs w:val="22"/>
          <w:highlight w:val="yellow"/>
        </w:rPr>
      </w:pPr>
    </w:p>
    <w:p w14:paraId="7F3B7CF8" w14:textId="77777777" w:rsidR="00C73699" w:rsidRPr="004E2BFC" w:rsidRDefault="00C73699" w:rsidP="00C73699">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1A880226" w14:textId="77777777" w:rsidR="00C73699" w:rsidRDefault="00C73699" w:rsidP="00C73699">
      <w:pPr>
        <w:rPr>
          <w:rFonts w:cs="Arial"/>
          <w:szCs w:val="22"/>
        </w:rPr>
      </w:pPr>
    </w:p>
    <w:p w14:paraId="2D8E9F04" w14:textId="77777777" w:rsidR="00CA22F3" w:rsidRPr="00674FE2" w:rsidRDefault="00CA22F3" w:rsidP="00CA22F3">
      <w:pPr>
        <w:rPr>
          <w:rFonts w:cs="Arial"/>
          <w:bCs/>
          <w:szCs w:val="22"/>
        </w:rPr>
      </w:pPr>
      <w:r w:rsidRPr="00674FE2">
        <w:rPr>
          <w:rFonts w:cs="Arial"/>
          <w:b/>
          <w:bCs/>
          <w:szCs w:val="22"/>
        </w:rPr>
        <w:t>1.</w:t>
      </w:r>
      <w:r>
        <w:rPr>
          <w:rFonts w:cs="Arial"/>
          <w:bCs/>
          <w:szCs w:val="22"/>
        </w:rPr>
        <w:t xml:space="preserve"> </w:t>
      </w:r>
      <w:r w:rsidRPr="00674FE2">
        <w:rPr>
          <w:rFonts w:cs="Arial"/>
          <w:bCs/>
          <w:szCs w:val="22"/>
        </w:rPr>
        <w:t>Revisión y análisis a las cifras que muestran los Estados Financieros al 31 de diciembre de 2021.</w:t>
      </w:r>
    </w:p>
    <w:p w14:paraId="537723C9" w14:textId="77777777" w:rsidR="00CA22F3" w:rsidRDefault="00CA22F3" w:rsidP="00CA22F3">
      <w:pPr>
        <w:rPr>
          <w:rFonts w:eastAsia="Calibri" w:cs="Arial"/>
          <w:bCs/>
          <w:szCs w:val="22"/>
          <w:lang w:val="es-MX"/>
        </w:rPr>
      </w:pPr>
    </w:p>
    <w:p w14:paraId="1CA4ACDD" w14:textId="77777777" w:rsidR="00CA22F3" w:rsidRPr="00674FE2" w:rsidRDefault="00CA22F3" w:rsidP="00CA22F3">
      <w:pPr>
        <w:rPr>
          <w:rFonts w:cs="Arial"/>
          <w:bCs/>
          <w:szCs w:val="22"/>
        </w:rPr>
      </w:pPr>
      <w:r w:rsidRPr="00674FE2">
        <w:rPr>
          <w:rFonts w:cs="Arial"/>
          <w:b/>
          <w:bCs/>
          <w:szCs w:val="22"/>
        </w:rPr>
        <w:t>1.</w:t>
      </w:r>
      <w:r>
        <w:rPr>
          <w:rFonts w:cs="Arial"/>
          <w:b/>
          <w:bCs/>
          <w:szCs w:val="22"/>
        </w:rPr>
        <w:t>1</w:t>
      </w:r>
      <w:r w:rsidRPr="00674FE2">
        <w:rPr>
          <w:rFonts w:cs="Arial"/>
          <w:b/>
          <w:bCs/>
          <w:szCs w:val="22"/>
        </w:rPr>
        <w:t>.</w:t>
      </w:r>
      <w:r>
        <w:rPr>
          <w:rFonts w:cs="Arial"/>
          <w:bCs/>
          <w:szCs w:val="22"/>
        </w:rPr>
        <w:t xml:space="preserve"> </w:t>
      </w:r>
      <w:proofErr w:type="gramStart"/>
      <w:r w:rsidRPr="00674FE2">
        <w:rPr>
          <w:rFonts w:cs="Arial"/>
          <w:bCs/>
          <w:szCs w:val="22"/>
        </w:rPr>
        <w:t>Confirmar</w:t>
      </w:r>
      <w:proofErr w:type="gramEnd"/>
      <w:r w:rsidRPr="00674FE2">
        <w:rPr>
          <w:rFonts w:cs="Arial"/>
          <w:bCs/>
          <w:szCs w:val="22"/>
        </w:rPr>
        <w:t xml:space="preserve"> que el inventario físico de</w:t>
      </w:r>
      <w:r>
        <w:rPr>
          <w:rFonts w:cs="Arial"/>
          <w:bCs/>
          <w:szCs w:val="22"/>
        </w:rPr>
        <w:t xml:space="preserve"> </w:t>
      </w:r>
      <w:r w:rsidRPr="00674FE2">
        <w:rPr>
          <w:rFonts w:cs="Arial"/>
          <w:bCs/>
          <w:szCs w:val="22"/>
        </w:rPr>
        <w:t>l</w:t>
      </w:r>
      <w:r>
        <w:rPr>
          <w:rFonts w:cs="Arial"/>
          <w:bCs/>
          <w:szCs w:val="22"/>
        </w:rPr>
        <w:t>a</w:t>
      </w:r>
      <w:r w:rsidRPr="00674FE2">
        <w:rPr>
          <w:rFonts w:cs="Arial"/>
          <w:bCs/>
          <w:szCs w:val="22"/>
        </w:rPr>
        <w:t xml:space="preserve"> </w:t>
      </w:r>
      <w:r>
        <w:rPr>
          <w:rFonts w:cs="Arial"/>
          <w:bCs/>
          <w:szCs w:val="22"/>
        </w:rPr>
        <w:t>Entidad Fiscalizada</w:t>
      </w:r>
      <w:r w:rsidRPr="00674FE2">
        <w:rPr>
          <w:rFonts w:cs="Arial"/>
          <w:bCs/>
          <w:szCs w:val="22"/>
        </w:rPr>
        <w:t xml:space="preserve"> se encuentre debidamente conciliado con los registros contables.</w:t>
      </w:r>
    </w:p>
    <w:p w14:paraId="748861C4" w14:textId="77777777" w:rsidR="00CA22F3" w:rsidRPr="00792C6E" w:rsidRDefault="00CA22F3" w:rsidP="00CA22F3">
      <w:pPr>
        <w:pStyle w:val="Prrafodelista"/>
        <w:ind w:left="360"/>
        <w:rPr>
          <w:rFonts w:ascii="Arial" w:hAnsi="Arial" w:cs="Arial"/>
          <w:bCs/>
          <w:szCs w:val="22"/>
        </w:rPr>
      </w:pPr>
    </w:p>
    <w:p w14:paraId="2F1B80FC" w14:textId="77777777" w:rsidR="00CA22F3" w:rsidRDefault="00CA22F3" w:rsidP="00CA22F3">
      <w:pPr>
        <w:rPr>
          <w:rFonts w:cs="Arial"/>
          <w:bCs/>
          <w:szCs w:val="22"/>
        </w:rPr>
      </w:pPr>
      <w:r w:rsidRPr="00674FE2">
        <w:rPr>
          <w:rFonts w:cs="Arial"/>
          <w:b/>
          <w:bCs/>
          <w:szCs w:val="22"/>
        </w:rPr>
        <w:t>1.2</w:t>
      </w:r>
      <w:r>
        <w:rPr>
          <w:rFonts w:cs="Arial"/>
          <w:b/>
          <w:bCs/>
          <w:szCs w:val="22"/>
        </w:rPr>
        <w:t>.</w:t>
      </w:r>
      <w:r>
        <w:rPr>
          <w:rFonts w:cs="Arial"/>
          <w:bCs/>
          <w:szCs w:val="22"/>
        </w:rPr>
        <w:t xml:space="preserve"> </w:t>
      </w:r>
      <w:r w:rsidRPr="00674FE2">
        <w:rPr>
          <w:rFonts w:cs="Arial"/>
          <w:bCs/>
          <w:szCs w:val="22"/>
        </w:rPr>
        <w:t>Constatar que se efectuó el registro de las Depreciaciones y Amortizaciones de los bienes muebles e inmuebles, correspondientes al ejercicio sujeto a revisión.</w:t>
      </w:r>
    </w:p>
    <w:p w14:paraId="4D3002DC" w14:textId="77777777" w:rsidR="00CA22F3" w:rsidRDefault="00CA22F3" w:rsidP="00CA22F3">
      <w:pPr>
        <w:rPr>
          <w:rFonts w:cs="Arial"/>
          <w:bCs/>
          <w:szCs w:val="22"/>
        </w:rPr>
      </w:pPr>
    </w:p>
    <w:p w14:paraId="45EA9E6B" w14:textId="77777777" w:rsidR="00CA22F3" w:rsidRPr="000966ED" w:rsidRDefault="00CA22F3" w:rsidP="00CA22F3">
      <w:pPr>
        <w:rPr>
          <w:rFonts w:cs="Arial"/>
          <w:bCs/>
          <w:szCs w:val="22"/>
        </w:rPr>
      </w:pPr>
      <w:r w:rsidRPr="00674FE2">
        <w:rPr>
          <w:rFonts w:cs="Arial"/>
          <w:b/>
          <w:bCs/>
          <w:szCs w:val="22"/>
        </w:rPr>
        <w:t>1.3</w:t>
      </w:r>
      <w:r>
        <w:rPr>
          <w:rFonts w:cs="Arial"/>
          <w:b/>
          <w:bCs/>
          <w:szCs w:val="22"/>
        </w:rPr>
        <w:t xml:space="preserve">. </w:t>
      </w:r>
      <w:r w:rsidRPr="000966ED">
        <w:rPr>
          <w:rFonts w:cs="Arial"/>
          <w:bCs/>
          <w:szCs w:val="22"/>
        </w:rPr>
        <w:t>Verificar que la Entidad haya cumplido con el principio de sostenibilidad presupuestal.</w:t>
      </w:r>
    </w:p>
    <w:p w14:paraId="54CC494F" w14:textId="77777777" w:rsidR="00CA22F3" w:rsidRPr="00674FE2" w:rsidRDefault="00CA22F3" w:rsidP="00CA22F3">
      <w:pPr>
        <w:pStyle w:val="Prrafodelista"/>
        <w:rPr>
          <w:rFonts w:ascii="Arial" w:hAnsi="Arial" w:cs="Arial"/>
          <w:bCs/>
          <w:szCs w:val="22"/>
        </w:rPr>
      </w:pPr>
    </w:p>
    <w:p w14:paraId="3C253EC1" w14:textId="77777777" w:rsidR="00CA22F3" w:rsidRDefault="00CA22F3" w:rsidP="00CA22F3">
      <w:pPr>
        <w:rPr>
          <w:rFonts w:cs="Arial"/>
          <w:bCs/>
          <w:szCs w:val="22"/>
        </w:rPr>
      </w:pPr>
      <w:r w:rsidRPr="00674FE2">
        <w:rPr>
          <w:rFonts w:cs="Arial"/>
          <w:b/>
          <w:bCs/>
          <w:szCs w:val="22"/>
        </w:rPr>
        <w:t>1.</w:t>
      </w:r>
      <w:r>
        <w:rPr>
          <w:rFonts w:cs="Arial"/>
          <w:b/>
          <w:bCs/>
          <w:szCs w:val="22"/>
        </w:rPr>
        <w:t>4.</w:t>
      </w:r>
      <w:r>
        <w:rPr>
          <w:rFonts w:cs="Arial"/>
          <w:bCs/>
          <w:szCs w:val="22"/>
        </w:rPr>
        <w:t xml:space="preserve"> </w:t>
      </w:r>
      <w:r w:rsidRPr="00674FE2">
        <w:rPr>
          <w:rFonts w:cs="Arial"/>
          <w:bCs/>
          <w:szCs w:val="22"/>
        </w:rPr>
        <w:t xml:space="preserve">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w:t>
      </w:r>
      <w:r>
        <w:rPr>
          <w:rFonts w:cs="Arial"/>
          <w:bCs/>
          <w:szCs w:val="22"/>
        </w:rPr>
        <w:t>E</w:t>
      </w:r>
      <w:r w:rsidRPr="00674FE2">
        <w:rPr>
          <w:rFonts w:cs="Arial"/>
          <w:bCs/>
          <w:szCs w:val="22"/>
        </w:rPr>
        <w:t xml:space="preserve">ntidad </w:t>
      </w:r>
      <w:r>
        <w:rPr>
          <w:rFonts w:cs="Arial"/>
          <w:bCs/>
          <w:szCs w:val="22"/>
        </w:rPr>
        <w:t>F</w:t>
      </w:r>
      <w:r w:rsidRPr="00674FE2">
        <w:rPr>
          <w:rFonts w:cs="Arial"/>
          <w:bCs/>
          <w:szCs w:val="22"/>
        </w:rPr>
        <w:t>iscalizada.</w:t>
      </w:r>
    </w:p>
    <w:p w14:paraId="7BE550E5" w14:textId="77777777" w:rsidR="00CA22F3" w:rsidRDefault="00CA22F3" w:rsidP="00CA22F3">
      <w:pPr>
        <w:rPr>
          <w:rFonts w:cs="Arial"/>
          <w:bCs/>
          <w:szCs w:val="22"/>
        </w:rPr>
      </w:pPr>
    </w:p>
    <w:p w14:paraId="275D58C7" w14:textId="77777777" w:rsidR="00CA22F3" w:rsidRPr="00674FE2" w:rsidRDefault="00CA22F3" w:rsidP="00CA22F3">
      <w:pPr>
        <w:rPr>
          <w:rFonts w:cs="Arial"/>
          <w:bCs/>
          <w:szCs w:val="22"/>
        </w:rPr>
      </w:pPr>
      <w:r>
        <w:rPr>
          <w:rFonts w:cs="Arial"/>
          <w:b/>
          <w:bCs/>
          <w:szCs w:val="22"/>
        </w:rPr>
        <w:t xml:space="preserve">1.5. </w:t>
      </w:r>
      <w:r w:rsidRPr="008D005E">
        <w:rPr>
          <w:rFonts w:cs="Arial"/>
          <w:szCs w:val="22"/>
        </w:rPr>
        <w:t xml:space="preserve">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w:t>
      </w:r>
      <w:r>
        <w:rPr>
          <w:rFonts w:cs="Arial"/>
          <w:szCs w:val="22"/>
        </w:rPr>
        <w:t>finalidad</w:t>
      </w:r>
      <w:r w:rsidRPr="008D005E">
        <w:rPr>
          <w:rFonts w:cs="Arial"/>
          <w:szCs w:val="22"/>
        </w:rPr>
        <w:t xml:space="preserve"> de verificar que dichos anticipos se hayan otorgado para obtener bienes o servicios previstos por la </w:t>
      </w:r>
      <w:r>
        <w:rPr>
          <w:rFonts w:cs="Arial"/>
          <w:szCs w:val="22"/>
        </w:rPr>
        <w:t>E</w:t>
      </w:r>
      <w:r w:rsidRPr="008D005E">
        <w:rPr>
          <w:rFonts w:cs="Arial"/>
          <w:szCs w:val="22"/>
        </w:rPr>
        <w:t xml:space="preserve">ntidad </w:t>
      </w:r>
      <w:r>
        <w:rPr>
          <w:rFonts w:cs="Arial"/>
          <w:szCs w:val="22"/>
        </w:rPr>
        <w:t>F</w:t>
      </w:r>
      <w:r w:rsidRPr="008D005E">
        <w:rPr>
          <w:rFonts w:cs="Arial"/>
          <w:szCs w:val="22"/>
        </w:rPr>
        <w:t>iscalizada</w:t>
      </w:r>
      <w:r>
        <w:rPr>
          <w:rFonts w:cs="Arial"/>
          <w:szCs w:val="22"/>
        </w:rPr>
        <w:t>.</w:t>
      </w:r>
    </w:p>
    <w:p w14:paraId="2C5AAC3E" w14:textId="77777777" w:rsidR="00CA22F3" w:rsidRPr="00797128" w:rsidRDefault="00CA22F3" w:rsidP="00C73699">
      <w:pPr>
        <w:rPr>
          <w:rFonts w:cs="Arial"/>
          <w:bCs/>
          <w:szCs w:val="22"/>
        </w:rPr>
      </w:pPr>
    </w:p>
    <w:p w14:paraId="6EC72B6B" w14:textId="77777777" w:rsidR="00C73699" w:rsidRDefault="00C73699" w:rsidP="00C73699">
      <w:pPr>
        <w:rPr>
          <w:rFonts w:cs="Arial"/>
          <w:szCs w:val="22"/>
        </w:rPr>
      </w:pPr>
    </w:p>
    <w:p w14:paraId="340B3D45" w14:textId="77777777" w:rsidR="00CA22F3" w:rsidRDefault="00CA22F3" w:rsidP="00C73699">
      <w:pPr>
        <w:rPr>
          <w:rFonts w:cs="Arial"/>
          <w:szCs w:val="22"/>
        </w:rPr>
      </w:pPr>
    </w:p>
    <w:p w14:paraId="2E3A4959" w14:textId="77777777" w:rsidR="00CA22F3" w:rsidRDefault="00CA22F3" w:rsidP="00C73699">
      <w:pPr>
        <w:rPr>
          <w:rFonts w:cs="Arial"/>
          <w:szCs w:val="22"/>
        </w:rPr>
      </w:pPr>
    </w:p>
    <w:p w14:paraId="69D989E0" w14:textId="577BE732" w:rsidR="00C73699" w:rsidRDefault="00C73699" w:rsidP="00C73699">
      <w:pPr>
        <w:rPr>
          <w:rFonts w:cs="Arial"/>
          <w:b/>
          <w:bCs/>
          <w:szCs w:val="22"/>
        </w:rPr>
      </w:pPr>
      <w:r w:rsidRPr="00AE7D25">
        <w:rPr>
          <w:b/>
        </w:rPr>
        <w:lastRenderedPageBreak/>
        <w:t>SERVIDORES PÚBLICOS DE LA AUDITORÍA SUPERIOR A C</w:t>
      </w:r>
      <w:r w:rsidR="00F32564">
        <w:rPr>
          <w:b/>
        </w:rPr>
        <w:t>ARGO DE REALIZAR LA AUDITORÍA FINANCIERA</w:t>
      </w:r>
    </w:p>
    <w:p w14:paraId="598B46B1" w14:textId="77777777" w:rsidR="00C73699" w:rsidRPr="00AE7D25" w:rsidRDefault="00C73699" w:rsidP="00C73699">
      <w:pPr>
        <w:rPr>
          <w:rFonts w:cs="Arial"/>
          <w:b/>
          <w:bCs/>
          <w:szCs w:val="22"/>
        </w:rPr>
      </w:pPr>
    </w:p>
    <w:p w14:paraId="4F23D8DB" w14:textId="1A68B83D" w:rsidR="00C73699" w:rsidRDefault="00DC6D53" w:rsidP="00C73699">
      <w:pPr>
        <w:rPr>
          <w:rFonts w:cs="Arial"/>
          <w:b/>
          <w:szCs w:val="22"/>
        </w:rPr>
      </w:pPr>
      <w:r>
        <w:rPr>
          <w:noProof/>
        </w:rPr>
        <mc:AlternateContent>
          <mc:Choice Requires="wps">
            <w:drawing>
              <wp:anchor distT="0" distB="0" distL="114300" distR="114300" simplePos="0" relativeHeight="251659264" behindDoc="0" locked="0" layoutInCell="1" allowOverlap="1" wp14:anchorId="3E70CA76" wp14:editId="0813E397">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FAD337"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SdjeynwCAAB+BQAA&#10;DgAAAAAAAAAAAAAAAAAuAgAAZHJzL2Uyb0RvYy54bWxQSwECLQAUAAYACAAAACEAUI35fdwAAAAG&#10;AQAADwAAAAAAAAAAAAAAAADWBAAAZHJzL2Rvd25yZXYueG1sUEsFBgAAAAAEAAQA8wAAAN8FAAAA&#10;AA==&#10;" fillcolor="white [3212]" strokecolor="white [3212]" strokeweight="1pt"/>
            </w:pict>
          </mc:Fallback>
        </mc:AlternateConten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165E78" w:rsidRPr="00642997" w14:paraId="7FFB59E8" w14:textId="77777777" w:rsidTr="005F0DCE">
        <w:trPr>
          <w:trHeight w:val="217"/>
          <w:tblHeader/>
          <w:jc w:val="center"/>
        </w:trPr>
        <w:tc>
          <w:tcPr>
            <w:tcW w:w="397" w:type="pct"/>
            <w:vMerge w:val="restart"/>
            <w:shd w:val="clear" w:color="auto" w:fill="C5E9E7"/>
            <w:vAlign w:val="center"/>
          </w:tcPr>
          <w:p w14:paraId="0924E0D9" w14:textId="77777777" w:rsidR="00165E78" w:rsidRPr="00642997" w:rsidRDefault="00165E78" w:rsidP="005F0DCE">
            <w:pPr>
              <w:pStyle w:val="Textoindependiente"/>
              <w:jc w:val="center"/>
              <w:outlineLvl w:val="0"/>
              <w:rPr>
                <w:b/>
                <w:bCs/>
                <w:sz w:val="16"/>
                <w:szCs w:val="16"/>
              </w:rPr>
            </w:pPr>
            <w:r w:rsidRPr="00642997">
              <w:rPr>
                <w:b/>
                <w:bCs/>
                <w:sz w:val="16"/>
                <w:szCs w:val="16"/>
              </w:rPr>
              <w:t>No.</w:t>
            </w:r>
          </w:p>
        </w:tc>
        <w:tc>
          <w:tcPr>
            <w:tcW w:w="3221" w:type="pct"/>
            <w:vMerge w:val="restart"/>
            <w:shd w:val="clear" w:color="auto" w:fill="C5E9E7"/>
            <w:vAlign w:val="center"/>
          </w:tcPr>
          <w:p w14:paraId="66D2AB7D" w14:textId="77777777" w:rsidR="00165E78" w:rsidRPr="00642997" w:rsidRDefault="00165E78" w:rsidP="005F0DCE">
            <w:pPr>
              <w:jc w:val="center"/>
              <w:rPr>
                <w:rFonts w:cs="Arial"/>
                <w:b/>
                <w:bCs/>
                <w:sz w:val="16"/>
                <w:szCs w:val="16"/>
              </w:rPr>
            </w:pPr>
            <w:r w:rsidRPr="00642997">
              <w:rPr>
                <w:rFonts w:cs="Arial"/>
                <w:b/>
                <w:bCs/>
                <w:sz w:val="16"/>
                <w:szCs w:val="16"/>
              </w:rPr>
              <w:t>NOMBRE</w:t>
            </w:r>
          </w:p>
        </w:tc>
        <w:tc>
          <w:tcPr>
            <w:tcW w:w="1382" w:type="pct"/>
            <w:vMerge w:val="restart"/>
            <w:shd w:val="clear" w:color="auto" w:fill="C5E9E7"/>
            <w:vAlign w:val="center"/>
          </w:tcPr>
          <w:p w14:paraId="3B09BF44" w14:textId="77777777" w:rsidR="00165E78" w:rsidRPr="00642997" w:rsidRDefault="00165E78" w:rsidP="005F0DCE">
            <w:pPr>
              <w:jc w:val="center"/>
              <w:rPr>
                <w:rFonts w:cs="Arial"/>
                <w:b/>
                <w:bCs/>
                <w:sz w:val="16"/>
                <w:szCs w:val="16"/>
              </w:rPr>
            </w:pPr>
            <w:r w:rsidRPr="00642997">
              <w:rPr>
                <w:rFonts w:cs="Arial"/>
                <w:b/>
                <w:bCs/>
                <w:sz w:val="16"/>
                <w:szCs w:val="16"/>
              </w:rPr>
              <w:t>CARGO</w:t>
            </w:r>
          </w:p>
        </w:tc>
      </w:tr>
      <w:tr w:rsidR="00165E78" w:rsidRPr="00642997" w14:paraId="7BEF3F80" w14:textId="77777777" w:rsidTr="005F0DCE">
        <w:trPr>
          <w:trHeight w:val="212"/>
          <w:tblHeader/>
          <w:jc w:val="center"/>
        </w:trPr>
        <w:tc>
          <w:tcPr>
            <w:tcW w:w="397" w:type="pct"/>
            <w:vMerge/>
            <w:shd w:val="pct5" w:color="000000" w:fill="FFFFFF"/>
            <w:vAlign w:val="center"/>
          </w:tcPr>
          <w:p w14:paraId="68B5210D" w14:textId="77777777" w:rsidR="00165E78" w:rsidRPr="00642997" w:rsidRDefault="00165E78" w:rsidP="005F0DCE">
            <w:pPr>
              <w:pStyle w:val="Textoindependiente"/>
              <w:jc w:val="center"/>
              <w:outlineLvl w:val="0"/>
              <w:rPr>
                <w:b/>
                <w:sz w:val="16"/>
                <w:szCs w:val="16"/>
              </w:rPr>
            </w:pPr>
          </w:p>
        </w:tc>
        <w:tc>
          <w:tcPr>
            <w:tcW w:w="3221" w:type="pct"/>
            <w:vMerge/>
            <w:shd w:val="pct5" w:color="000000" w:fill="FFFFFF"/>
            <w:vAlign w:val="center"/>
          </w:tcPr>
          <w:p w14:paraId="07C1CEA9" w14:textId="77777777" w:rsidR="00165E78" w:rsidRPr="00642997" w:rsidRDefault="00165E78" w:rsidP="005F0DCE">
            <w:pPr>
              <w:jc w:val="center"/>
              <w:rPr>
                <w:rFonts w:cs="Arial"/>
                <w:b/>
                <w:sz w:val="16"/>
                <w:szCs w:val="16"/>
              </w:rPr>
            </w:pPr>
          </w:p>
        </w:tc>
        <w:tc>
          <w:tcPr>
            <w:tcW w:w="1382" w:type="pct"/>
            <w:vMerge/>
            <w:shd w:val="pct5" w:color="000000" w:fill="FFFFFF"/>
            <w:vAlign w:val="center"/>
          </w:tcPr>
          <w:p w14:paraId="3121E231" w14:textId="77777777" w:rsidR="00165E78" w:rsidRPr="00642997" w:rsidRDefault="00165E78" w:rsidP="005F0DCE">
            <w:pPr>
              <w:jc w:val="center"/>
              <w:rPr>
                <w:rFonts w:cs="Arial"/>
                <w:b/>
                <w:sz w:val="16"/>
                <w:szCs w:val="16"/>
              </w:rPr>
            </w:pPr>
          </w:p>
        </w:tc>
      </w:tr>
      <w:tr w:rsidR="00165E78" w:rsidRPr="00642997" w14:paraId="0AD7C1D1" w14:textId="77777777" w:rsidTr="005F0DCE">
        <w:trPr>
          <w:trHeight w:val="217"/>
          <w:jc w:val="center"/>
        </w:trPr>
        <w:tc>
          <w:tcPr>
            <w:tcW w:w="397" w:type="pct"/>
            <w:shd w:val="pct20" w:color="000000" w:fill="FFFFFF"/>
            <w:vAlign w:val="center"/>
          </w:tcPr>
          <w:p w14:paraId="2463F934" w14:textId="77777777" w:rsidR="00165E78" w:rsidRPr="00642997" w:rsidRDefault="00165E78" w:rsidP="005F0DCE">
            <w:pPr>
              <w:pStyle w:val="Textoindependiente"/>
              <w:jc w:val="center"/>
              <w:outlineLvl w:val="0"/>
              <w:rPr>
                <w:b/>
                <w:sz w:val="16"/>
                <w:szCs w:val="16"/>
              </w:rPr>
            </w:pPr>
            <w:r w:rsidRPr="00642997">
              <w:rPr>
                <w:b/>
                <w:sz w:val="16"/>
                <w:szCs w:val="16"/>
              </w:rPr>
              <w:t>1</w:t>
            </w:r>
          </w:p>
        </w:tc>
        <w:tc>
          <w:tcPr>
            <w:tcW w:w="3221" w:type="pct"/>
            <w:shd w:val="pct20" w:color="000000" w:fill="FFFFFF"/>
            <w:vAlign w:val="center"/>
          </w:tcPr>
          <w:p w14:paraId="2A5C025B" w14:textId="77777777" w:rsidR="00165E78" w:rsidRPr="00642997" w:rsidRDefault="00165E78" w:rsidP="005F0DCE">
            <w:pPr>
              <w:rPr>
                <w:rFonts w:cs="Arial"/>
                <w:sz w:val="16"/>
                <w:szCs w:val="16"/>
              </w:rPr>
            </w:pPr>
            <w:r w:rsidRPr="00642997">
              <w:rPr>
                <w:rFonts w:cs="Arial"/>
                <w:sz w:val="16"/>
                <w:szCs w:val="16"/>
              </w:rPr>
              <w:t>L.C. Rocío Santana Regalado</w:t>
            </w:r>
          </w:p>
        </w:tc>
        <w:tc>
          <w:tcPr>
            <w:tcW w:w="1382" w:type="pct"/>
            <w:shd w:val="pct20" w:color="000000" w:fill="FFFFFF"/>
            <w:vAlign w:val="center"/>
          </w:tcPr>
          <w:p w14:paraId="26D314F5" w14:textId="77777777" w:rsidR="00165E78" w:rsidRPr="00642997" w:rsidRDefault="00165E78" w:rsidP="005F0DCE">
            <w:pPr>
              <w:jc w:val="center"/>
              <w:rPr>
                <w:rFonts w:cs="Arial"/>
                <w:sz w:val="16"/>
                <w:szCs w:val="16"/>
              </w:rPr>
            </w:pPr>
            <w:r w:rsidRPr="00642997">
              <w:rPr>
                <w:rFonts w:cs="Arial"/>
                <w:sz w:val="16"/>
                <w:szCs w:val="16"/>
              </w:rPr>
              <w:t>Auditor</w:t>
            </w:r>
          </w:p>
        </w:tc>
      </w:tr>
      <w:tr w:rsidR="00165E78" w:rsidRPr="00642997" w14:paraId="04964B52" w14:textId="77777777" w:rsidTr="005F0DCE">
        <w:trPr>
          <w:trHeight w:val="217"/>
          <w:jc w:val="center"/>
        </w:trPr>
        <w:tc>
          <w:tcPr>
            <w:tcW w:w="397" w:type="pct"/>
            <w:shd w:val="pct20" w:color="000000" w:fill="FFFFFF"/>
            <w:vAlign w:val="center"/>
          </w:tcPr>
          <w:p w14:paraId="123314FE" w14:textId="77777777" w:rsidR="00165E78" w:rsidRPr="00642997" w:rsidRDefault="00165E78" w:rsidP="005F0DCE">
            <w:pPr>
              <w:pStyle w:val="Textoindependiente"/>
              <w:jc w:val="center"/>
              <w:outlineLvl w:val="0"/>
              <w:rPr>
                <w:b/>
                <w:sz w:val="16"/>
                <w:szCs w:val="16"/>
              </w:rPr>
            </w:pPr>
            <w:r w:rsidRPr="00642997">
              <w:rPr>
                <w:b/>
                <w:sz w:val="16"/>
                <w:szCs w:val="16"/>
              </w:rPr>
              <w:t>2</w:t>
            </w:r>
          </w:p>
        </w:tc>
        <w:tc>
          <w:tcPr>
            <w:tcW w:w="3221" w:type="pct"/>
            <w:shd w:val="pct20" w:color="000000" w:fill="FFFFFF"/>
            <w:vAlign w:val="center"/>
          </w:tcPr>
          <w:p w14:paraId="4CB9123D" w14:textId="77777777" w:rsidR="00165E78" w:rsidRPr="00642997" w:rsidRDefault="00165E78" w:rsidP="005F0DCE">
            <w:pPr>
              <w:rPr>
                <w:rFonts w:cs="Arial"/>
                <w:sz w:val="16"/>
                <w:szCs w:val="16"/>
              </w:rPr>
            </w:pPr>
            <w:r w:rsidRPr="00642997">
              <w:rPr>
                <w:rFonts w:cs="Arial"/>
                <w:sz w:val="16"/>
                <w:szCs w:val="16"/>
              </w:rPr>
              <w:t>L.A. María Teresa Sierra Mendoza</w:t>
            </w:r>
          </w:p>
        </w:tc>
        <w:tc>
          <w:tcPr>
            <w:tcW w:w="1382" w:type="pct"/>
            <w:shd w:val="pct20" w:color="000000" w:fill="FFFFFF"/>
            <w:vAlign w:val="center"/>
          </w:tcPr>
          <w:p w14:paraId="72FD9050" w14:textId="77777777" w:rsidR="00165E78" w:rsidRPr="00642997" w:rsidRDefault="00165E78" w:rsidP="005F0DCE">
            <w:pPr>
              <w:jc w:val="center"/>
              <w:rPr>
                <w:rFonts w:cs="Arial"/>
                <w:sz w:val="16"/>
                <w:szCs w:val="16"/>
              </w:rPr>
            </w:pPr>
            <w:r w:rsidRPr="00642997">
              <w:rPr>
                <w:rFonts w:cs="Arial"/>
                <w:sz w:val="16"/>
                <w:szCs w:val="16"/>
              </w:rPr>
              <w:t>Auditor</w:t>
            </w:r>
          </w:p>
        </w:tc>
      </w:tr>
    </w:tbl>
    <w:p w14:paraId="186BAB02" w14:textId="77777777" w:rsidR="00C73699" w:rsidRDefault="00C73699" w:rsidP="00C73699">
      <w:pPr>
        <w:rPr>
          <w:b/>
          <w:szCs w:val="22"/>
        </w:rPr>
      </w:pPr>
    </w:p>
    <w:p w14:paraId="758C2857" w14:textId="77777777" w:rsidR="00C73699" w:rsidRDefault="00C73699" w:rsidP="00C73699">
      <w:pPr>
        <w:rPr>
          <w:b/>
        </w:rPr>
      </w:pPr>
    </w:p>
    <w:p w14:paraId="1CF48FCA"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484B05A"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C73699">
      <w:pPr>
        <w:rPr>
          <w:rFonts w:cs="Arial"/>
          <w:bCs/>
          <w:szCs w:val="22"/>
        </w:rPr>
      </w:pPr>
    </w:p>
    <w:p w14:paraId="0118AA7A"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C73699">
      <w:pPr>
        <w:rPr>
          <w:rFonts w:cs="Arial"/>
          <w:color w:val="00000A"/>
          <w:szCs w:val="22"/>
        </w:rPr>
      </w:pPr>
    </w:p>
    <w:p w14:paraId="1EE7012F" w14:textId="3AAF58AE" w:rsidR="00BB551C" w:rsidRPr="00665331" w:rsidRDefault="00BB551C" w:rsidP="00BB551C">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Pr>
          <w:rFonts w:cs="Arial"/>
          <w:color w:val="00000A"/>
          <w:szCs w:val="22"/>
        </w:rPr>
        <w:t xml:space="preserve"> Superior</w:t>
      </w:r>
      <w:r w:rsidRPr="009450A9">
        <w:rPr>
          <w:rFonts w:cs="Arial"/>
          <w:color w:val="00000A"/>
          <w:szCs w:val="22"/>
        </w:rPr>
        <w:t xml:space="preserve">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w:t>
      </w:r>
      <w:r>
        <w:rPr>
          <w:rFonts w:cs="Arial"/>
          <w:szCs w:val="22"/>
          <w:lang w:val="es-ES_tradnl"/>
        </w:rPr>
        <w:t>Acuerdo Administrativo de fecha 14</w:t>
      </w:r>
      <w:r>
        <w:rPr>
          <w:rFonts w:cs="Arial"/>
          <w:szCs w:val="22"/>
        </w:rPr>
        <w:t xml:space="preserve"> de octubre</w:t>
      </w:r>
      <w:r w:rsidR="00AA01C5">
        <w:rPr>
          <w:rFonts w:cs="Arial"/>
          <w:szCs w:val="22"/>
          <w:lang w:val="es-ES_tradnl"/>
        </w:rPr>
        <w:t xml:space="preserve"> de</w:t>
      </w:r>
      <w:r w:rsidRPr="001C60BC">
        <w:rPr>
          <w:rFonts w:cs="Arial"/>
          <w:szCs w:val="22"/>
          <w:lang w:val="es-ES_tradnl"/>
        </w:rPr>
        <w:t xml:space="preserve"> 2022</w:t>
      </w:r>
      <w:r w:rsidRPr="00633E6B">
        <w:rPr>
          <w:rFonts w:cs="Arial"/>
          <w:szCs w:val="22"/>
          <w:lang w:val="es-ES_tradnl"/>
        </w:rPr>
        <w:t>, formalizados en Acta Circunstanciada, en la que se hizo constar la entrega</w:t>
      </w:r>
      <w:r w:rsidRPr="004D0B24">
        <w:rPr>
          <w:rFonts w:cs="Arial"/>
          <w:szCs w:val="22"/>
          <w:lang w:val="es-ES_tradnl"/>
        </w:rPr>
        <w:t xml:space="preserve"> </w:t>
      </w:r>
      <w:r>
        <w:rPr>
          <w:rFonts w:cs="Arial"/>
          <w:szCs w:val="22"/>
          <w:lang w:val="es-ES_tradnl"/>
        </w:rPr>
        <w:t xml:space="preserve">del </w:t>
      </w:r>
      <w:r w:rsidRPr="007A041B">
        <w:rPr>
          <w:rFonts w:cs="Arial"/>
          <w:b/>
          <w:szCs w:val="22"/>
          <w:lang w:val="es-ES_tradnl"/>
        </w:rPr>
        <w:t>escrito</w:t>
      </w:r>
      <w:r>
        <w:rPr>
          <w:rFonts w:cs="Arial"/>
          <w:szCs w:val="22"/>
        </w:rPr>
        <w:t>, de fecha 4 de</w:t>
      </w:r>
      <w:r w:rsidRPr="00D339D2">
        <w:rPr>
          <w:rFonts w:cs="Arial"/>
          <w:szCs w:val="22"/>
        </w:rPr>
        <w:t xml:space="preserve"> </w:t>
      </w:r>
      <w:r>
        <w:rPr>
          <w:rFonts w:cs="Arial"/>
          <w:szCs w:val="22"/>
        </w:rPr>
        <w:t xml:space="preserve">noviembre de </w:t>
      </w:r>
      <w:r w:rsidRPr="00D339D2">
        <w:rPr>
          <w:rFonts w:cs="Arial"/>
          <w:szCs w:val="22"/>
        </w:rPr>
        <w:t>2022</w:t>
      </w:r>
      <w:r w:rsidRPr="00D63B99">
        <w:rPr>
          <w:szCs w:val="22"/>
        </w:rPr>
        <w:t xml:space="preserve">, </w:t>
      </w:r>
      <w:r w:rsidR="00AA01C5">
        <w:rPr>
          <w:szCs w:val="22"/>
        </w:rPr>
        <w:t xml:space="preserve">al cual no se anexo documentación soporte, </w:t>
      </w:r>
      <w:r w:rsidRPr="00D57327">
        <w:rPr>
          <w:rFonts w:cs="Arial"/>
          <w:szCs w:val="22"/>
        </w:rPr>
        <w:t xml:space="preserve">en </w:t>
      </w:r>
      <w:r>
        <w:rPr>
          <w:rFonts w:cs="Arial"/>
          <w:szCs w:val="22"/>
        </w:rPr>
        <w:t>el</w:t>
      </w:r>
      <w:r w:rsidRPr="00633E6B">
        <w:rPr>
          <w:rFonts w:cs="Arial"/>
          <w:szCs w:val="22"/>
        </w:rPr>
        <w:t xml:space="preserve">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Informe Individual de Auditoría</w:t>
      </w:r>
      <w:r>
        <w:rPr>
          <w:rFonts w:cs="Arial"/>
          <w:szCs w:val="22"/>
        </w:rPr>
        <w:t>, se dieron</w:t>
      </w:r>
      <w:r w:rsidRPr="009450A9">
        <w:rPr>
          <w:rFonts w:cs="Arial"/>
          <w:szCs w:val="22"/>
        </w:rPr>
        <w:t xml:space="preserve"> a conocer conforme a lo establecido en el artículo 53 de la </w:t>
      </w:r>
      <w:r w:rsidRPr="009450A9">
        <w:rPr>
          <w:rFonts w:cs="Arial"/>
          <w:color w:val="000000"/>
          <w:szCs w:val="22"/>
          <w:lang w:eastAsia="en-US"/>
        </w:rPr>
        <w:t>Ley en cita.</w:t>
      </w:r>
    </w:p>
    <w:p w14:paraId="3A5B240E" w14:textId="77777777" w:rsidR="00BB551C" w:rsidRDefault="00BB551C" w:rsidP="00C73699">
      <w:pPr>
        <w:rPr>
          <w:rFonts w:cs="Arial"/>
          <w:color w:val="00000A"/>
          <w:szCs w:val="22"/>
        </w:rPr>
      </w:pPr>
    </w:p>
    <w:p w14:paraId="65D29B58" w14:textId="77777777" w:rsidR="00C73699" w:rsidRPr="00665331" w:rsidRDefault="00C73699" w:rsidP="00C73699">
      <w:pPr>
        <w:rPr>
          <w:rFonts w:cs="Arial"/>
          <w:color w:val="000000"/>
          <w:szCs w:val="22"/>
          <w:lang w:eastAsia="en-US"/>
        </w:rPr>
      </w:pPr>
    </w:p>
    <w:p w14:paraId="5B9E6ED6" w14:textId="77777777" w:rsidR="00C73699" w:rsidRDefault="00C73699" w:rsidP="00C73699">
      <w:pPr>
        <w:rPr>
          <w:rFonts w:cs="Arial"/>
          <w:szCs w:val="22"/>
        </w:rPr>
      </w:pPr>
      <w:r w:rsidRPr="00BE7B39">
        <w:rPr>
          <w:rFonts w:cs="Arial"/>
          <w:szCs w:val="22"/>
        </w:rPr>
        <w:lastRenderedPageBreak/>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80EE8D9" w14:textId="77777777" w:rsidR="00C73699" w:rsidRDefault="00C73699" w:rsidP="00C73699">
      <w:pPr>
        <w:rPr>
          <w:rFonts w:cs="Arial"/>
          <w:color w:val="00000A"/>
          <w:szCs w:val="22"/>
        </w:rPr>
      </w:pPr>
    </w:p>
    <w:p w14:paraId="1F07B642" w14:textId="77777777" w:rsidR="00C73699" w:rsidRPr="005C3EED" w:rsidRDefault="00C73699" w:rsidP="00C73699">
      <w:pPr>
        <w:rPr>
          <w:rFonts w:cs="Arial"/>
          <w:bCs/>
          <w:szCs w:val="22"/>
        </w:rPr>
      </w:pPr>
      <w:bookmarkStart w:id="1" w:name="_Hlk52970898"/>
      <w:r w:rsidRPr="00B7253C">
        <w:rPr>
          <w:rFonts w:cs="Arial"/>
          <w:b/>
          <w:szCs w:val="22"/>
        </w:rPr>
        <w:t xml:space="preserve">1. </w:t>
      </w:r>
      <w:r w:rsidRPr="00B7253C">
        <w:rPr>
          <w:rFonts w:cs="Arial"/>
          <w:b/>
          <w:szCs w:val="22"/>
        </w:rPr>
        <w:tab/>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de 2021, se conoció lo siguiente:</w:t>
      </w:r>
    </w:p>
    <w:p w14:paraId="05E7CB43" w14:textId="77777777" w:rsidR="00C73699" w:rsidRPr="005C3EED" w:rsidRDefault="00C73699" w:rsidP="00C73699">
      <w:pPr>
        <w:rPr>
          <w:rFonts w:cs="Arial"/>
          <w:b/>
          <w:szCs w:val="22"/>
        </w:rPr>
      </w:pPr>
    </w:p>
    <w:p w14:paraId="286D6F2E" w14:textId="77777777" w:rsidR="00C73699" w:rsidRPr="005C3EED" w:rsidRDefault="00C73699" w:rsidP="00C73699">
      <w:pPr>
        <w:rPr>
          <w:rFonts w:cs="Arial"/>
          <w:color w:val="00000A"/>
          <w:szCs w:val="22"/>
        </w:rPr>
      </w:pPr>
      <w:r w:rsidRPr="00DA328E">
        <w:rPr>
          <w:rFonts w:cs="Arial"/>
          <w:b/>
          <w:szCs w:val="22"/>
        </w:rPr>
        <w:t xml:space="preserve">1.1. Observación Preliminar número </w:t>
      </w:r>
      <w:r w:rsidRPr="00DA328E">
        <w:rPr>
          <w:rFonts w:cs="Arial"/>
          <w:b/>
          <w:bCs/>
          <w:szCs w:val="22"/>
        </w:rPr>
        <w:t>01</w:t>
      </w:r>
    </w:p>
    <w:p w14:paraId="094F0723" w14:textId="77777777" w:rsidR="00C73699" w:rsidRPr="005C3EED" w:rsidRDefault="00C73699" w:rsidP="00C73699">
      <w:pPr>
        <w:pStyle w:val="Prrafodelista"/>
        <w:ind w:left="567"/>
        <w:jc w:val="right"/>
        <w:rPr>
          <w:rFonts w:ascii="Arial" w:hAnsi="Arial" w:cs="Arial"/>
          <w:iCs/>
          <w:szCs w:val="22"/>
          <w:lang w:eastAsia="es-MX"/>
        </w:rPr>
      </w:pPr>
    </w:p>
    <w:bookmarkEnd w:id="1"/>
    <w:p w14:paraId="3604D936" w14:textId="0FC6E0A7" w:rsidR="00165E78" w:rsidRPr="00165E78" w:rsidRDefault="00165E78" w:rsidP="00165E78">
      <w:pPr>
        <w:autoSpaceDE w:val="0"/>
        <w:autoSpaceDN w:val="0"/>
        <w:adjustRightInd w:val="0"/>
        <w:rPr>
          <w:rFonts w:cs="Arial"/>
          <w:szCs w:val="22"/>
        </w:rPr>
      </w:pPr>
      <w:r w:rsidRPr="00165E78">
        <w:rPr>
          <w:rFonts w:cs="Arial"/>
          <w:bCs/>
          <w:szCs w:val="22"/>
          <w:lang w:val="es-ES_tradnl"/>
        </w:rPr>
        <w:t xml:space="preserve">Con base a la revisión y análisis </w:t>
      </w:r>
      <w:r w:rsidRPr="00165E78">
        <w:rPr>
          <w:rFonts w:cs="Arial"/>
          <w:szCs w:val="22"/>
        </w:rPr>
        <w:t xml:space="preserve">a la Relación de bienes Muebles e Inmuebles publicados en su página de Internet, </w:t>
      </w:r>
      <w:hyperlink r:id="rId8" w:history="1">
        <w:r w:rsidRPr="00165E78">
          <w:rPr>
            <w:rStyle w:val="Hipervnculo"/>
            <w:rFonts w:cs="Arial"/>
            <w:szCs w:val="22"/>
          </w:rPr>
          <w:t>https://www.tlalpujahua.gob.mx</w:t>
        </w:r>
      </w:hyperlink>
      <w:r w:rsidRPr="00165E78">
        <w:rPr>
          <w:rStyle w:val="Hipervnculo"/>
          <w:rFonts w:cs="Arial"/>
          <w:szCs w:val="22"/>
        </w:rPr>
        <w:t xml:space="preserve"> </w:t>
      </w:r>
      <w:r w:rsidRPr="00165E78">
        <w:rPr>
          <w:rFonts w:cs="Arial"/>
          <w:szCs w:val="22"/>
        </w:rPr>
        <w:t xml:space="preserve">y al compararla con Estado de Situación Financiera al 31 de diciembre de 2021, en los rubros </w:t>
      </w:r>
      <w:r w:rsidRPr="00165E78">
        <w:rPr>
          <w:rFonts w:cs="Arial"/>
          <w:bCs/>
          <w:color w:val="000000"/>
          <w:szCs w:val="22"/>
        </w:rPr>
        <w:t>Bienes Muebles</w:t>
      </w:r>
      <w:r w:rsidRPr="00165E78">
        <w:rPr>
          <w:rFonts w:cs="Arial"/>
          <w:szCs w:val="22"/>
        </w:rPr>
        <w:t>, e Inmuebles, y Activos</w:t>
      </w:r>
      <w:r w:rsidR="00595C2F">
        <w:rPr>
          <w:rFonts w:cs="Arial"/>
          <w:szCs w:val="22"/>
        </w:rPr>
        <w:t xml:space="preserve"> Intangibles, se determina</w:t>
      </w:r>
      <w:r w:rsidR="00EE723F">
        <w:rPr>
          <w:rFonts w:cs="Arial"/>
          <w:szCs w:val="22"/>
        </w:rPr>
        <w:t xml:space="preserve"> una diferencia</w:t>
      </w:r>
      <w:r w:rsidRPr="00165E78">
        <w:rPr>
          <w:rFonts w:cs="Arial"/>
          <w:szCs w:val="22"/>
        </w:rPr>
        <w:t xml:space="preserve">, </w:t>
      </w:r>
      <w:r w:rsidR="00EE723F">
        <w:rPr>
          <w:rFonts w:cs="Arial"/>
          <w:szCs w:val="22"/>
        </w:rPr>
        <w:t>por la cantidad de 2 millones 840 mil pesos.</w:t>
      </w:r>
    </w:p>
    <w:p w14:paraId="2F41EF34" w14:textId="77777777" w:rsidR="00165E78" w:rsidRPr="005C3EED" w:rsidRDefault="00165E78" w:rsidP="00C73699">
      <w:pPr>
        <w:shd w:val="clear" w:color="auto" w:fill="FFFFFF"/>
        <w:autoSpaceDE w:val="0"/>
        <w:autoSpaceDN w:val="0"/>
        <w:adjustRightInd w:val="0"/>
        <w:rPr>
          <w:rFonts w:eastAsia="Arial" w:cs="Arial"/>
          <w:spacing w:val="1"/>
          <w:szCs w:val="22"/>
        </w:rPr>
      </w:pPr>
    </w:p>
    <w:p w14:paraId="20BC6D99" w14:textId="638A5FDE" w:rsidR="00C73699" w:rsidRDefault="009A58D6" w:rsidP="00C73699">
      <w:pPr>
        <w:rPr>
          <w:rFonts w:cs="Arial"/>
          <w:b/>
          <w:szCs w:val="22"/>
        </w:rPr>
      </w:pPr>
      <w:r>
        <w:rPr>
          <w:rFonts w:cs="Arial"/>
          <w:b/>
          <w:szCs w:val="22"/>
        </w:rPr>
        <w:t>Disposiciones Jurídicas Incumplidas.</w:t>
      </w:r>
    </w:p>
    <w:p w14:paraId="6DFB7A29" w14:textId="77777777" w:rsidR="009A58D6" w:rsidRPr="005C3EED" w:rsidRDefault="009A58D6" w:rsidP="00C73699">
      <w:pPr>
        <w:rPr>
          <w:rFonts w:cs="Arial"/>
          <w:color w:val="00000A"/>
          <w:szCs w:val="22"/>
        </w:rPr>
      </w:pPr>
    </w:p>
    <w:p w14:paraId="77C54C6A" w14:textId="21FB9810" w:rsidR="00C73699" w:rsidRPr="00642997" w:rsidRDefault="00165E78" w:rsidP="00BB551C">
      <w:pPr>
        <w:shd w:val="clear" w:color="auto" w:fill="FFFFFF"/>
        <w:tabs>
          <w:tab w:val="left" w:pos="1172"/>
          <w:tab w:val="center" w:pos="2797"/>
        </w:tabs>
        <w:autoSpaceDE w:val="0"/>
        <w:autoSpaceDN w:val="0"/>
        <w:adjustRightInd w:val="0"/>
        <w:rPr>
          <w:rFonts w:cs="Arial"/>
          <w:szCs w:val="22"/>
        </w:rPr>
      </w:pPr>
      <w:r w:rsidRPr="003C6305">
        <w:rPr>
          <w:rFonts w:cs="Arial"/>
          <w:szCs w:val="22"/>
        </w:rPr>
        <w:t>Artículos 23, 24 y 27 de la Ley Genera</w:t>
      </w:r>
      <w:r w:rsidR="00642997">
        <w:rPr>
          <w:rFonts w:cs="Arial"/>
          <w:szCs w:val="22"/>
        </w:rPr>
        <w:t>l</w:t>
      </w:r>
      <w:r w:rsidR="00BB551C">
        <w:rPr>
          <w:rFonts w:cs="Arial"/>
          <w:szCs w:val="22"/>
        </w:rPr>
        <w:t xml:space="preserve"> de Contabilidad Gubernamental;</w:t>
      </w:r>
      <w:r w:rsidRPr="003C6305">
        <w:rPr>
          <w:rFonts w:cs="Arial"/>
          <w:szCs w:val="22"/>
        </w:rPr>
        <w:t xml:space="preserve"> 70 párrafos segundo y tercero y 74 de la Planeación Hacendaria, Presupuesto, Gasto Público y Contabilidad Gubernamental del Estado de Michoacán de Ocampo</w:t>
      </w:r>
      <w:r w:rsidR="003C6305">
        <w:rPr>
          <w:rFonts w:cs="Arial"/>
          <w:szCs w:val="22"/>
        </w:rPr>
        <w:t>.</w:t>
      </w:r>
    </w:p>
    <w:p w14:paraId="6711636F" w14:textId="77777777" w:rsidR="00C73699" w:rsidRPr="0008407C" w:rsidRDefault="00C73699" w:rsidP="00C73699">
      <w:pPr>
        <w:rPr>
          <w:rFonts w:eastAsia="Arial" w:cs="Arial"/>
          <w:spacing w:val="1"/>
          <w:szCs w:val="22"/>
          <w:lang w:val="es-MX" w:eastAsia="es-MX"/>
        </w:rPr>
      </w:pPr>
    </w:p>
    <w:p w14:paraId="21208CF1" w14:textId="38090476" w:rsidR="00C73699" w:rsidRPr="005C3EED" w:rsidRDefault="003C6305" w:rsidP="00C73699">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Pr="008E5A57">
        <w:rPr>
          <w:rFonts w:eastAsia="Arial Unicode MS"/>
          <w:lang w:eastAsia="es-MX"/>
        </w:rPr>
        <w:t xml:space="preserve">de fecha 4 </w:t>
      </w:r>
      <w:r>
        <w:rPr>
          <w:rFonts w:eastAsia="Arial Unicode MS"/>
          <w:lang w:eastAsia="es-MX"/>
        </w:rPr>
        <w:t>de noviembre de 2022</w:t>
      </w:r>
      <w:r w:rsidR="00C73699"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sidRPr="008E5A57">
        <w:rPr>
          <w:i/>
        </w:rPr>
        <w:t>no exhibo en este acto justificaciones ni aclaraciones dentro del plazo legal que me fue concedido, siendo todo lo que deseo manifestar”</w:t>
      </w:r>
      <w:r w:rsidR="00C73699" w:rsidRPr="005C3EED">
        <w:rPr>
          <w:rFonts w:eastAsia="Arial Unicode MS" w:cs="Arial"/>
          <w:szCs w:val="22"/>
          <w:lang w:val="es-MX" w:eastAsia="es-MX"/>
        </w:rPr>
        <w:t>.</w:t>
      </w:r>
    </w:p>
    <w:p w14:paraId="78CBB770" w14:textId="77777777" w:rsidR="00C73699" w:rsidRPr="005C3EED" w:rsidRDefault="00C73699" w:rsidP="00C73699">
      <w:pPr>
        <w:rPr>
          <w:rFonts w:eastAsia="Arial Unicode MS" w:cs="Arial"/>
          <w:szCs w:val="22"/>
          <w:lang w:val="es-MX" w:eastAsia="es-MX"/>
        </w:rPr>
      </w:pPr>
    </w:p>
    <w:p w14:paraId="3A49453D" w14:textId="04A48332" w:rsidR="00C73699" w:rsidRPr="005C3EED" w:rsidRDefault="003C6305" w:rsidP="00C73699">
      <w:pPr>
        <w:rPr>
          <w:rFonts w:eastAsia="Arial Unicode MS" w:cs="Arial"/>
          <w:i/>
          <w:szCs w:val="22"/>
          <w:lang w:val="es-MX" w:eastAsia="es-MX"/>
        </w:rPr>
      </w:pPr>
      <w:r>
        <w:rPr>
          <w:rFonts w:eastAsia="Arial Unicode MS" w:cs="Arial"/>
          <w:szCs w:val="22"/>
          <w:lang w:val="es-MX" w:eastAsia="es-MX"/>
        </w:rPr>
        <w:t xml:space="preserve">Asimismo, mediante </w:t>
      </w:r>
      <w:r w:rsidRPr="007A041B">
        <w:rPr>
          <w:rFonts w:eastAsia="Arial Unicode MS"/>
          <w:b/>
          <w:lang w:eastAsia="es-MX"/>
        </w:rPr>
        <w:t>escrito</w:t>
      </w:r>
      <w:r w:rsidRPr="008E5A57">
        <w:rPr>
          <w:rFonts w:eastAsia="Arial Unicode MS"/>
          <w:lang w:eastAsia="es-MX"/>
        </w:rPr>
        <w:t xml:space="preserve"> de fecha 4 de noviembre de 2022</w:t>
      </w:r>
      <w:r w:rsidR="00C73699" w:rsidRPr="005C3EED">
        <w:rPr>
          <w:rFonts w:eastAsia="Arial Unicode MS" w:cs="Arial"/>
          <w:szCs w:val="22"/>
          <w:lang w:val="es-MX" w:eastAsia="es-MX"/>
        </w:rPr>
        <w:t xml:space="preserve">, </w:t>
      </w:r>
      <w:r w:rsidR="00C73699">
        <w:rPr>
          <w:rFonts w:eastAsia="Arial Unicode MS" w:cs="Arial"/>
          <w:szCs w:val="22"/>
          <w:lang w:val="es-MX" w:eastAsia="es-MX"/>
        </w:rPr>
        <w:t xml:space="preserve">los servidores públicos que estuvieron en funciones durante el ejercicio fiscal sujeto a revisión </w:t>
      </w:r>
      <w:r w:rsidR="00C73699"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Pr="008E5A57">
        <w:rPr>
          <w:rFonts w:eastAsia="Arial Unicode MS"/>
          <w:i/>
          <w:lang w:eastAsia="es-MX"/>
        </w:rPr>
        <w:t>En cuanto a la conciliación entre lo contable y lo presupuestal no se pudo concluir en mi periodo de gestión el cual termino el 31 de agosto de 2021, por lo tanto, pido me sea eliminada la observación preliminar de mi responsabilid</w:t>
      </w:r>
      <w:r>
        <w:rPr>
          <w:rFonts w:eastAsia="Arial Unicode MS"/>
          <w:i/>
          <w:lang w:eastAsia="es-MX"/>
        </w:rPr>
        <w:t>ad</w:t>
      </w:r>
      <w:r w:rsidRPr="008E5A57">
        <w:rPr>
          <w:rFonts w:eastAsia="Arial Unicode MS"/>
          <w:i/>
          <w:lang w:eastAsia="es-MX"/>
        </w:rPr>
        <w:t>”</w:t>
      </w:r>
      <w:r>
        <w:rPr>
          <w:rFonts w:eastAsia="Arial Unicode MS"/>
          <w:i/>
          <w:lang w:eastAsia="es-MX"/>
        </w:rPr>
        <w:t>.</w:t>
      </w:r>
    </w:p>
    <w:p w14:paraId="27F21140" w14:textId="77777777" w:rsidR="00C73699" w:rsidRPr="005C3EED" w:rsidRDefault="00C73699" w:rsidP="00C73699">
      <w:pPr>
        <w:rPr>
          <w:rFonts w:cs="Arial"/>
          <w:szCs w:val="22"/>
        </w:rPr>
      </w:pPr>
    </w:p>
    <w:p w14:paraId="0C8C80CC" w14:textId="77777777" w:rsidR="00C73699" w:rsidRPr="005C3EED" w:rsidRDefault="00C73699" w:rsidP="00C73699">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01.</w:t>
      </w:r>
    </w:p>
    <w:p w14:paraId="0535BC99" w14:textId="77777777" w:rsidR="00C73699" w:rsidRPr="005C3EED" w:rsidRDefault="00C73699" w:rsidP="00C73699">
      <w:pPr>
        <w:tabs>
          <w:tab w:val="left" w:pos="10022"/>
        </w:tabs>
        <w:rPr>
          <w:rFonts w:cs="Arial"/>
          <w:b/>
          <w:bCs/>
          <w:color w:val="000000"/>
          <w:szCs w:val="22"/>
        </w:rPr>
      </w:pPr>
    </w:p>
    <w:p w14:paraId="764EE222" w14:textId="3405B1E0" w:rsidR="00D44F58" w:rsidRDefault="00C73699" w:rsidP="00C73699">
      <w:pPr>
        <w:pStyle w:val="Prrafodelista"/>
        <w:ind w:left="0"/>
        <w:rPr>
          <w:rFonts w:ascii="Arial" w:hAnsi="Arial" w:cs="Arial"/>
          <w:bCs/>
          <w:szCs w:val="22"/>
          <w:lang w:val="es-ES"/>
        </w:rPr>
      </w:pPr>
      <w:r w:rsidRPr="005C3EED">
        <w:rPr>
          <w:rFonts w:ascii="Arial" w:hAnsi="Arial" w:cs="Arial"/>
          <w:bCs/>
          <w:szCs w:val="22"/>
          <w:lang w:val="es-ES"/>
        </w:rPr>
        <w:t>Derivado de lo anterior, conforme a las pruebas ofertadas se determinó elaborar el Informe de Presuntas Irregularidades número</w:t>
      </w:r>
      <w:r w:rsidR="003C6305" w:rsidRPr="003C6305">
        <w:rPr>
          <w:b/>
          <w:szCs w:val="22"/>
        </w:rPr>
        <w:t xml:space="preserve"> </w:t>
      </w:r>
      <w:r w:rsidR="003C6305" w:rsidRPr="003C6305">
        <w:rPr>
          <w:rFonts w:ascii="Arial" w:hAnsi="Arial" w:cs="Arial"/>
          <w:b/>
          <w:szCs w:val="22"/>
        </w:rPr>
        <w:t>ASM/AEFM/DGFM/CP2021/AF/M093/327/IPI-01</w:t>
      </w:r>
      <w:r w:rsidRPr="005C3EED">
        <w:rPr>
          <w:rFonts w:ascii="Arial" w:hAnsi="Arial" w:cs="Arial"/>
          <w:bCs/>
          <w:szCs w:val="22"/>
          <w:lang w:val="es-ES"/>
        </w:rPr>
        <w:t>, el cual será turnado a la Autoridad Investigadora de este Órgano Técnico, para su trámite correspondiente.</w:t>
      </w:r>
    </w:p>
    <w:p w14:paraId="5D3F783A" w14:textId="12FFE67E" w:rsidR="00D44F58" w:rsidRDefault="00D44F58" w:rsidP="00D44F58">
      <w:pPr>
        <w:rPr>
          <w:rFonts w:cs="Arial"/>
          <w:bCs/>
          <w:szCs w:val="22"/>
        </w:rPr>
      </w:pPr>
      <w:r w:rsidRPr="00674FE2">
        <w:rPr>
          <w:rFonts w:cs="Arial"/>
          <w:b/>
          <w:bCs/>
          <w:szCs w:val="22"/>
        </w:rPr>
        <w:lastRenderedPageBreak/>
        <w:t>1.2</w:t>
      </w:r>
      <w:r>
        <w:rPr>
          <w:rFonts w:cs="Arial"/>
          <w:b/>
          <w:bCs/>
          <w:szCs w:val="22"/>
        </w:rPr>
        <w:t>.</w:t>
      </w:r>
      <w:r>
        <w:rPr>
          <w:rFonts w:cs="Arial"/>
          <w:bCs/>
          <w:szCs w:val="22"/>
        </w:rPr>
        <w:t xml:space="preserve"> Se constató</w:t>
      </w:r>
      <w:r w:rsidRPr="00674FE2">
        <w:rPr>
          <w:rFonts w:cs="Arial"/>
          <w:bCs/>
          <w:szCs w:val="22"/>
        </w:rPr>
        <w:t xml:space="preserve"> que se efectuó el registro de las Depreciaciones y Amortizaciones de los bienes muebles e inmuebles, correspondientes al ejercicio sujeto a revisión</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r w:rsidRPr="000966ED">
        <w:rPr>
          <w:rFonts w:cs="Arial"/>
          <w:bCs/>
          <w:szCs w:val="22"/>
        </w:rPr>
        <w:t>.</w:t>
      </w:r>
    </w:p>
    <w:p w14:paraId="1EAE3464" w14:textId="77777777" w:rsidR="00EE723F" w:rsidRPr="005C3EED" w:rsidRDefault="00EE723F" w:rsidP="00EE723F">
      <w:pPr>
        <w:rPr>
          <w:rFonts w:cs="Arial"/>
          <w:b/>
          <w:szCs w:val="22"/>
        </w:rPr>
      </w:pPr>
      <w:bookmarkStart w:id="2" w:name="_Hlk56506103"/>
    </w:p>
    <w:p w14:paraId="1C1CA185" w14:textId="7D717E3A" w:rsidR="00EE723F" w:rsidRPr="005C3EED" w:rsidRDefault="00D44F58" w:rsidP="00EE723F">
      <w:pPr>
        <w:rPr>
          <w:rFonts w:cs="Arial"/>
          <w:color w:val="00000A"/>
          <w:szCs w:val="22"/>
        </w:rPr>
      </w:pPr>
      <w:r>
        <w:rPr>
          <w:rFonts w:cs="Arial"/>
          <w:b/>
          <w:szCs w:val="22"/>
        </w:rPr>
        <w:t xml:space="preserve">1.3 </w:t>
      </w:r>
      <w:r w:rsidR="00EE723F" w:rsidRPr="00DA328E">
        <w:rPr>
          <w:rFonts w:cs="Arial"/>
          <w:b/>
          <w:szCs w:val="22"/>
        </w:rPr>
        <w:t xml:space="preserve">Observación Preliminar número </w:t>
      </w:r>
      <w:r w:rsidR="00EE723F" w:rsidRPr="00DA328E">
        <w:rPr>
          <w:rFonts w:cs="Arial"/>
          <w:b/>
          <w:bCs/>
          <w:szCs w:val="22"/>
        </w:rPr>
        <w:t>02</w:t>
      </w:r>
    </w:p>
    <w:p w14:paraId="116D1FD8" w14:textId="77777777" w:rsidR="00EE723F" w:rsidRPr="005C3EED" w:rsidRDefault="00EE723F" w:rsidP="00EE723F">
      <w:pPr>
        <w:pStyle w:val="Prrafodelista"/>
        <w:ind w:left="567"/>
        <w:jc w:val="right"/>
        <w:rPr>
          <w:rFonts w:ascii="Arial" w:hAnsi="Arial" w:cs="Arial"/>
          <w:iCs/>
          <w:szCs w:val="22"/>
          <w:lang w:eastAsia="es-MX"/>
        </w:rPr>
      </w:pPr>
    </w:p>
    <w:p w14:paraId="0C8C63BC" w14:textId="6284F35D" w:rsidR="00EE723F" w:rsidRDefault="00EE723F" w:rsidP="00EE723F">
      <w:pPr>
        <w:shd w:val="clear" w:color="auto" w:fill="FFFFFF"/>
        <w:autoSpaceDE w:val="0"/>
        <w:autoSpaceDN w:val="0"/>
        <w:adjustRightInd w:val="0"/>
      </w:pPr>
      <w:r w:rsidRPr="008E5A57">
        <w:rPr>
          <w:bCs/>
          <w:lang w:val="es-ES_tradnl"/>
        </w:rPr>
        <w:t xml:space="preserve">Con base a la revisión y análisis de la información presentada, específicamente al “Balance Presupuestario LDF”, al 31 de diciembre de 2021 se conoció que fue mayor el Gasto No Etiquetado (devengado), en comparación con los Ingresos de Libre Disposición (devengado), lo que originó que no se diera cumplimiento al principio de sostenibilidad que establece la Ley de Disciplina Financiera de las Entidades Federativas y los Municipios, </w:t>
      </w:r>
      <w:r>
        <w:t xml:space="preserve">por la cantidad de </w:t>
      </w:r>
      <w:r>
        <w:rPr>
          <w:szCs w:val="22"/>
          <w:lang w:val="es-ES_tradnl" w:eastAsia="es-MX"/>
        </w:rPr>
        <w:t>5 millones 657 mil 186 pesos.</w:t>
      </w:r>
    </w:p>
    <w:p w14:paraId="6BC77792" w14:textId="77777777" w:rsidR="00EE723F" w:rsidRPr="005C3EED" w:rsidRDefault="00EE723F" w:rsidP="00EE723F">
      <w:pPr>
        <w:shd w:val="clear" w:color="auto" w:fill="FFFFFF"/>
        <w:autoSpaceDE w:val="0"/>
        <w:autoSpaceDN w:val="0"/>
        <w:adjustRightInd w:val="0"/>
        <w:rPr>
          <w:rFonts w:eastAsia="Arial" w:cs="Arial"/>
          <w:spacing w:val="1"/>
          <w:szCs w:val="22"/>
        </w:rPr>
      </w:pPr>
    </w:p>
    <w:p w14:paraId="00DAD068" w14:textId="248E83D4" w:rsidR="00EE723F" w:rsidRPr="005C3EED" w:rsidRDefault="009A58D6" w:rsidP="00EE723F">
      <w:pPr>
        <w:rPr>
          <w:rFonts w:cs="Arial"/>
          <w:b/>
          <w:color w:val="00000A"/>
          <w:szCs w:val="22"/>
        </w:rPr>
      </w:pPr>
      <w:r>
        <w:rPr>
          <w:rFonts w:cs="Arial"/>
          <w:b/>
          <w:szCs w:val="22"/>
        </w:rPr>
        <w:t>Disposiciones Jurídicas Incumplidas</w:t>
      </w:r>
      <w:r w:rsidR="00EE723F" w:rsidRPr="005C3EED">
        <w:rPr>
          <w:rFonts w:cs="Arial"/>
          <w:b/>
          <w:szCs w:val="22"/>
        </w:rPr>
        <w:t>.</w:t>
      </w:r>
    </w:p>
    <w:p w14:paraId="6579E698" w14:textId="77777777" w:rsidR="00EE723F" w:rsidRPr="005C3EED" w:rsidRDefault="00EE723F" w:rsidP="00EE723F">
      <w:pPr>
        <w:rPr>
          <w:rFonts w:cs="Arial"/>
          <w:color w:val="00000A"/>
          <w:szCs w:val="22"/>
        </w:rPr>
      </w:pPr>
    </w:p>
    <w:p w14:paraId="79779A31" w14:textId="4182434D" w:rsidR="00EE723F" w:rsidRDefault="00EE723F" w:rsidP="00EE723F">
      <w:pPr>
        <w:rPr>
          <w:bCs/>
          <w:lang w:val="es-ES_tradnl"/>
        </w:rPr>
      </w:pPr>
      <w:r w:rsidRPr="008E5A57">
        <w:rPr>
          <w:bCs/>
          <w:lang w:val="es-ES_tradnl"/>
        </w:rPr>
        <w:t>Artículo 6 y 19 de la Ley de Disciplina Financiera de las Entidades Federativas y los Municipios</w:t>
      </w:r>
      <w:r>
        <w:rPr>
          <w:bCs/>
          <w:lang w:val="es-ES_tradnl"/>
        </w:rPr>
        <w:t>.</w:t>
      </w:r>
    </w:p>
    <w:p w14:paraId="5529D94D" w14:textId="77777777" w:rsidR="00EE723F" w:rsidRPr="0008407C" w:rsidRDefault="00EE723F" w:rsidP="00EE723F">
      <w:pPr>
        <w:rPr>
          <w:rFonts w:eastAsia="Arial" w:cs="Arial"/>
          <w:spacing w:val="1"/>
          <w:szCs w:val="22"/>
          <w:lang w:val="es-MX" w:eastAsia="es-MX"/>
        </w:rPr>
      </w:pPr>
    </w:p>
    <w:p w14:paraId="7C634488" w14:textId="040FFC34" w:rsidR="00EE723F" w:rsidRPr="005C3EED" w:rsidRDefault="00EE723F" w:rsidP="00EE723F">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Pr="008E5A57">
        <w:rPr>
          <w:rFonts w:eastAsia="Arial Unicode MS"/>
          <w:lang w:eastAsia="es-MX"/>
        </w:rPr>
        <w:t>de fecha 4</w:t>
      </w:r>
      <w:r w:rsidR="002A73EA">
        <w:rPr>
          <w:rFonts w:eastAsia="Arial Unicode MS"/>
          <w:lang w:eastAsia="es-MX"/>
        </w:rPr>
        <w:t xml:space="preserve"> de noviembre de 2022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sidRPr="008E5A57">
        <w:rPr>
          <w:i/>
        </w:rPr>
        <w:t>no exhibo en este acto justificaciones ni aclaraciones dentro del plazo legal que me fue concedido, siendo todo lo que deseo manifestar”</w:t>
      </w:r>
      <w:r w:rsidRPr="005C3EED">
        <w:rPr>
          <w:rFonts w:eastAsia="Arial Unicode MS" w:cs="Arial"/>
          <w:szCs w:val="22"/>
          <w:lang w:val="es-MX" w:eastAsia="es-MX"/>
        </w:rPr>
        <w:t>.</w:t>
      </w:r>
    </w:p>
    <w:p w14:paraId="074903A1" w14:textId="77777777" w:rsidR="00EE723F" w:rsidRPr="005C3EED" w:rsidRDefault="00EE723F" w:rsidP="00EE723F">
      <w:pPr>
        <w:rPr>
          <w:rFonts w:eastAsia="Arial Unicode MS" w:cs="Arial"/>
          <w:szCs w:val="22"/>
          <w:lang w:val="es-MX" w:eastAsia="es-MX"/>
        </w:rPr>
      </w:pPr>
    </w:p>
    <w:p w14:paraId="171CF276" w14:textId="7E8EA1AB" w:rsidR="00EE723F" w:rsidRPr="005C3EED" w:rsidRDefault="00EE723F" w:rsidP="00EE723F">
      <w:pPr>
        <w:rPr>
          <w:rFonts w:eastAsia="Arial Unicode MS" w:cs="Arial"/>
          <w:i/>
          <w:szCs w:val="22"/>
          <w:lang w:val="es-MX" w:eastAsia="es-MX"/>
        </w:rPr>
      </w:pPr>
      <w:r>
        <w:rPr>
          <w:rFonts w:eastAsia="Arial Unicode MS" w:cs="Arial"/>
          <w:szCs w:val="22"/>
          <w:lang w:val="es-MX" w:eastAsia="es-MX"/>
        </w:rPr>
        <w:t xml:space="preserve">Asimismo, mediante </w:t>
      </w:r>
      <w:r w:rsidRPr="007A041B">
        <w:rPr>
          <w:rFonts w:eastAsia="Arial Unicode MS"/>
          <w:b/>
          <w:lang w:eastAsia="es-MX"/>
        </w:rPr>
        <w:t>escrito</w:t>
      </w:r>
      <w:r w:rsidRPr="008E5A57">
        <w:rPr>
          <w:rFonts w:eastAsia="Arial Unicode MS"/>
          <w:lang w:eastAsia="es-MX"/>
        </w:rPr>
        <w:t xml:space="preserve"> de fecha 4 de noviembre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Pr="008E5A57">
        <w:rPr>
          <w:rFonts w:eastAsia="Arial Unicode MS"/>
          <w:i/>
          <w:lang w:eastAsia="es-MX"/>
        </w:rPr>
        <w:t xml:space="preserve">En este sentido se refiere a una información anual la cual corresponde del 01 de enero al 31 de diciembre de 2021 y en las funciones como presidente de la junta de gobierno concluyeron el </w:t>
      </w:r>
      <w:r w:rsidRPr="00482893">
        <w:rPr>
          <w:rFonts w:eastAsia="Arial Unicode MS"/>
          <w:i/>
          <w:lang w:eastAsia="es-MX"/>
        </w:rPr>
        <w:t>31 de agosto de 2021</w:t>
      </w:r>
      <w:r w:rsidRPr="008E5A57">
        <w:rPr>
          <w:rFonts w:eastAsia="Arial Unicode MS"/>
          <w:i/>
          <w:lang w:eastAsia="es-MX"/>
        </w:rPr>
        <w:t>, por lo tanto, pido me sea eliminada la observación preliminar de mi responsabilidad”</w:t>
      </w:r>
      <w:r>
        <w:rPr>
          <w:rFonts w:eastAsia="Arial Unicode MS"/>
          <w:i/>
          <w:lang w:eastAsia="es-MX"/>
        </w:rPr>
        <w:t>.</w:t>
      </w:r>
    </w:p>
    <w:p w14:paraId="4C8E4A78" w14:textId="77777777" w:rsidR="00EE723F" w:rsidRPr="005C3EED" w:rsidRDefault="00EE723F" w:rsidP="00EE723F">
      <w:pPr>
        <w:rPr>
          <w:rFonts w:cs="Arial"/>
          <w:szCs w:val="22"/>
        </w:rPr>
      </w:pPr>
    </w:p>
    <w:p w14:paraId="09CBC0E1" w14:textId="328EB503" w:rsidR="00EE723F" w:rsidRPr="005C3EED" w:rsidRDefault="00EE723F" w:rsidP="00EE723F">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02</w:t>
      </w:r>
      <w:r w:rsidRPr="005C3EED">
        <w:rPr>
          <w:rFonts w:cs="Arial"/>
          <w:b/>
          <w:bCs/>
          <w:color w:val="000000"/>
          <w:szCs w:val="22"/>
        </w:rPr>
        <w:t>.</w:t>
      </w:r>
    </w:p>
    <w:p w14:paraId="68B31EB3" w14:textId="77777777" w:rsidR="00EE723F" w:rsidRPr="005C3EED" w:rsidRDefault="00EE723F" w:rsidP="00EE723F">
      <w:pPr>
        <w:tabs>
          <w:tab w:val="left" w:pos="10022"/>
        </w:tabs>
        <w:rPr>
          <w:rFonts w:cs="Arial"/>
          <w:b/>
          <w:bCs/>
          <w:color w:val="000000"/>
          <w:szCs w:val="22"/>
        </w:rPr>
      </w:pPr>
    </w:p>
    <w:p w14:paraId="59795491" w14:textId="06046CC9" w:rsidR="00EE723F" w:rsidRDefault="00EE723F" w:rsidP="00D44F58">
      <w:pPr>
        <w:pStyle w:val="Prrafodelista"/>
        <w:ind w:left="0"/>
        <w:rPr>
          <w:rFonts w:ascii="Arial" w:hAnsi="Arial" w:cs="Arial"/>
          <w:bCs/>
          <w:szCs w:val="22"/>
          <w:lang w:val="es-ES"/>
        </w:rPr>
      </w:pPr>
      <w:r w:rsidRPr="005C3EED">
        <w:rPr>
          <w:rFonts w:ascii="Arial" w:hAnsi="Arial" w:cs="Arial"/>
          <w:bCs/>
          <w:szCs w:val="22"/>
          <w:lang w:val="es-ES"/>
        </w:rPr>
        <w:t>Derivado de lo anterior, conforme a las pruebas ofertadas se determinó elaborar el Informe de Presuntas Irregularidades número</w:t>
      </w:r>
      <w:r w:rsidRPr="00EE723F">
        <w:rPr>
          <w:b/>
          <w:szCs w:val="22"/>
        </w:rPr>
        <w:t xml:space="preserve"> </w:t>
      </w:r>
      <w:r w:rsidRPr="00EE723F">
        <w:rPr>
          <w:rFonts w:ascii="Arial" w:hAnsi="Arial" w:cs="Arial"/>
          <w:b/>
          <w:szCs w:val="22"/>
        </w:rPr>
        <w:t>ASM/AEFM/DGFM/CP2021/AF/M093/327/IPI-02</w:t>
      </w:r>
      <w:r w:rsidRPr="005C3EED">
        <w:rPr>
          <w:rFonts w:ascii="Arial" w:hAnsi="Arial" w:cs="Arial"/>
          <w:bCs/>
          <w:szCs w:val="22"/>
          <w:lang w:val="es-ES"/>
        </w:rPr>
        <w:t>, el cual será turnado a la Autoridad Investigadora de este Órgano Técnico, para su trámite correspondiente.</w:t>
      </w:r>
    </w:p>
    <w:p w14:paraId="07F65BA5" w14:textId="0470960C" w:rsidR="00D44F58" w:rsidRDefault="00D44F58" w:rsidP="00D44F58">
      <w:pPr>
        <w:rPr>
          <w:rFonts w:cs="Arial"/>
          <w:bCs/>
          <w:szCs w:val="22"/>
        </w:rPr>
      </w:pPr>
      <w:r w:rsidRPr="00674FE2">
        <w:rPr>
          <w:rFonts w:cs="Arial"/>
          <w:b/>
          <w:bCs/>
          <w:szCs w:val="22"/>
        </w:rPr>
        <w:lastRenderedPageBreak/>
        <w:t>1.</w:t>
      </w:r>
      <w:r>
        <w:rPr>
          <w:rFonts w:cs="Arial"/>
          <w:b/>
          <w:bCs/>
          <w:szCs w:val="22"/>
        </w:rPr>
        <w:t>4.</w:t>
      </w:r>
      <w:r>
        <w:rPr>
          <w:rFonts w:cs="Arial"/>
          <w:bCs/>
          <w:szCs w:val="22"/>
        </w:rPr>
        <w:t xml:space="preserve"> </w:t>
      </w:r>
      <w:r>
        <w:rPr>
          <w:rFonts w:cs="Arial"/>
          <w:b/>
          <w:szCs w:val="22"/>
        </w:rPr>
        <w:t xml:space="preserve">Recomendación </w:t>
      </w:r>
      <w:r w:rsidRPr="00DA328E">
        <w:rPr>
          <w:rFonts w:cs="Arial"/>
          <w:b/>
          <w:szCs w:val="22"/>
        </w:rPr>
        <w:t xml:space="preserve">número </w:t>
      </w:r>
      <w:r w:rsidR="00823F66">
        <w:rPr>
          <w:rFonts w:cs="Arial"/>
          <w:b/>
          <w:bCs/>
          <w:szCs w:val="22"/>
        </w:rPr>
        <w:t>01</w:t>
      </w:r>
    </w:p>
    <w:p w14:paraId="6A53F93F" w14:textId="77777777" w:rsidR="00D44F58" w:rsidRDefault="00D44F58" w:rsidP="00D44F58">
      <w:pPr>
        <w:rPr>
          <w:rFonts w:cs="Arial"/>
          <w:bCs/>
          <w:szCs w:val="22"/>
        </w:rPr>
      </w:pPr>
    </w:p>
    <w:p w14:paraId="05062B45" w14:textId="1E71DCBB" w:rsidR="00D44F58" w:rsidRDefault="00D44F58" w:rsidP="00D44F58">
      <w:pPr>
        <w:pStyle w:val="Forma"/>
        <w:shd w:val="clear" w:color="auto" w:fill="FFFFFF"/>
        <w:spacing w:line="276" w:lineRule="auto"/>
        <w:jc w:val="both"/>
        <w:rPr>
          <w:rFonts w:ascii="Arial" w:hAnsi="Arial" w:cs="Arial"/>
          <w:sz w:val="22"/>
          <w:szCs w:val="22"/>
          <w:lang w:eastAsia="es-MX"/>
        </w:rPr>
      </w:pPr>
      <w:r w:rsidRPr="00D44F58">
        <w:rPr>
          <w:rFonts w:ascii="Arial" w:hAnsi="Arial" w:cs="Arial"/>
          <w:sz w:val="22"/>
          <w:szCs w:val="22"/>
        </w:rPr>
        <w:t xml:space="preserve">Con base a la revisión y análisis de la información y documentación proporcionada por parte </w:t>
      </w:r>
      <w:r w:rsidR="00642997">
        <w:rPr>
          <w:rFonts w:ascii="Arial" w:hAnsi="Arial" w:cs="Arial"/>
          <w:sz w:val="22"/>
          <w:szCs w:val="22"/>
        </w:rPr>
        <w:t>la Entidad Fiscalizada</w:t>
      </w:r>
      <w:r w:rsidRPr="00D44F58">
        <w:rPr>
          <w:rFonts w:ascii="Arial" w:hAnsi="Arial" w:cs="Arial"/>
          <w:sz w:val="22"/>
          <w:szCs w:val="22"/>
        </w:rPr>
        <w:t>, se conoció que no se llevó a cabo el procedimiento del acreditamiento y solicitud de devolución del Impuesto al Valor Agregado ante el Servicio de Administración Tributaria, correspondiente a ejercicios anteriores al 2021</w:t>
      </w:r>
      <w:r w:rsidR="00642997">
        <w:rPr>
          <w:rFonts w:ascii="Arial" w:hAnsi="Arial" w:cs="Arial"/>
          <w:sz w:val="22"/>
          <w:szCs w:val="22"/>
        </w:rPr>
        <w:t xml:space="preserve">, por la cantidad </w:t>
      </w:r>
      <w:r w:rsidR="00642997">
        <w:rPr>
          <w:rFonts w:ascii="Arial" w:hAnsi="Arial" w:cs="Arial"/>
          <w:color w:val="000000"/>
          <w:sz w:val="22"/>
          <w:szCs w:val="22"/>
        </w:rPr>
        <w:t>1 millón 494 mil 789 pesos</w:t>
      </w:r>
      <w:r w:rsidR="00642997">
        <w:rPr>
          <w:rFonts w:ascii="Arial" w:hAnsi="Arial" w:cs="Arial"/>
          <w:sz w:val="22"/>
          <w:szCs w:val="22"/>
        </w:rPr>
        <w:t>,</w:t>
      </w:r>
      <w:r w:rsidRPr="00D44F58">
        <w:rPr>
          <w:rFonts w:ascii="Arial" w:hAnsi="Arial" w:cs="Arial"/>
          <w:sz w:val="22"/>
          <w:szCs w:val="22"/>
        </w:rPr>
        <w:t xml:space="preserve"> según lo muestra la Cuenta Contable </w:t>
      </w:r>
      <w:r w:rsidRPr="00D44F58">
        <w:rPr>
          <w:rFonts w:ascii="Arial" w:hAnsi="Arial" w:cs="Arial"/>
          <w:b/>
          <w:sz w:val="22"/>
          <w:szCs w:val="22"/>
        </w:rPr>
        <w:t xml:space="preserve">1129-001-00004 IVA acreditable, </w:t>
      </w:r>
      <w:r w:rsidR="002A73EA">
        <w:rPr>
          <w:rFonts w:ascii="Arial" w:hAnsi="Arial" w:cs="Arial"/>
          <w:sz w:val="22"/>
          <w:szCs w:val="22"/>
          <w:lang w:eastAsia="es-MX"/>
        </w:rPr>
        <w:t>y se recomen</w:t>
      </w:r>
      <w:r w:rsidR="00642997">
        <w:rPr>
          <w:rFonts w:ascii="Arial" w:hAnsi="Arial" w:cs="Arial"/>
          <w:sz w:val="22"/>
          <w:szCs w:val="22"/>
          <w:lang w:eastAsia="es-MX"/>
        </w:rPr>
        <w:t>dó</w:t>
      </w:r>
      <w:r w:rsidRPr="00D44F58">
        <w:rPr>
          <w:rFonts w:ascii="Arial" w:hAnsi="Arial" w:cs="Arial"/>
          <w:sz w:val="22"/>
          <w:szCs w:val="22"/>
          <w:lang w:eastAsia="es-MX"/>
        </w:rPr>
        <w:t xml:space="preserve"> que se implementen los procedimientos y/o mecanismos de control interno para verificar que esta recomendación se lleve a cabo.</w:t>
      </w:r>
    </w:p>
    <w:p w14:paraId="7E28BCBE" w14:textId="77777777" w:rsidR="00823F66" w:rsidRDefault="00823F66" w:rsidP="00D44F58">
      <w:pPr>
        <w:pStyle w:val="Forma"/>
        <w:shd w:val="clear" w:color="auto" w:fill="FFFFFF"/>
        <w:spacing w:line="276" w:lineRule="auto"/>
        <w:jc w:val="both"/>
        <w:rPr>
          <w:rFonts w:ascii="Arial" w:hAnsi="Arial" w:cs="Arial"/>
          <w:sz w:val="22"/>
          <w:szCs w:val="22"/>
          <w:lang w:eastAsia="es-MX"/>
        </w:rPr>
      </w:pPr>
    </w:p>
    <w:p w14:paraId="7EB4F853" w14:textId="15DFCD7F" w:rsidR="00823F66" w:rsidRPr="00F80820" w:rsidRDefault="00823F66" w:rsidP="00823F66">
      <w:pPr>
        <w:pStyle w:val="Prrafodelista"/>
        <w:tabs>
          <w:tab w:val="left" w:pos="851"/>
        </w:tabs>
        <w:ind w:left="0"/>
        <w:rPr>
          <w:rFonts w:ascii="Arial" w:eastAsia="Arial Unicode MS" w:hAnsi="Arial" w:cs="Arial"/>
          <w:szCs w:val="22"/>
          <w:lang w:val="es-ES" w:eastAsia="es-MX"/>
        </w:rPr>
      </w:pPr>
      <w:r>
        <w:rPr>
          <w:rFonts w:ascii="Arial" w:eastAsia="Arial Unicode MS" w:hAnsi="Arial" w:cs="Arial"/>
          <w:szCs w:val="22"/>
          <w:lang w:val="es-ES" w:eastAsia="es-MX"/>
        </w:rPr>
        <w:t>Por lo que se acordó un plazo de seis meses para su atención, conforme a lo señalado en el artículo 60 de la Ley de Fiscalización Superior y Rendición de Cuentas del Estado de Michoacán de Ocampo.</w:t>
      </w:r>
    </w:p>
    <w:p w14:paraId="07D7FC82" w14:textId="77777777" w:rsidR="00D44F58" w:rsidRDefault="00D44F58" w:rsidP="00D44F58">
      <w:pPr>
        <w:rPr>
          <w:rFonts w:cs="Arial"/>
          <w:bCs/>
          <w:szCs w:val="22"/>
        </w:rPr>
      </w:pPr>
    </w:p>
    <w:p w14:paraId="4A90CBE2" w14:textId="19247379" w:rsidR="00823F66" w:rsidRDefault="00D44F58" w:rsidP="00823F66">
      <w:pPr>
        <w:pStyle w:val="Forma"/>
        <w:shd w:val="clear" w:color="auto" w:fill="FFFFFF"/>
        <w:spacing w:line="276" w:lineRule="auto"/>
        <w:jc w:val="both"/>
        <w:rPr>
          <w:rFonts w:cs="Arial"/>
          <w:b/>
          <w:bCs/>
          <w:sz w:val="22"/>
          <w:szCs w:val="22"/>
        </w:rPr>
      </w:pPr>
      <w:r w:rsidRPr="00823F66">
        <w:rPr>
          <w:rFonts w:ascii="Arial" w:hAnsi="Arial" w:cs="Arial"/>
          <w:b/>
          <w:bCs/>
          <w:sz w:val="22"/>
          <w:szCs w:val="22"/>
        </w:rPr>
        <w:t>1.5.</w:t>
      </w:r>
      <w:r w:rsidRPr="00823F66">
        <w:rPr>
          <w:rFonts w:cs="Arial"/>
          <w:b/>
          <w:bCs/>
          <w:sz w:val="22"/>
          <w:szCs w:val="22"/>
        </w:rPr>
        <w:t xml:space="preserve"> </w:t>
      </w:r>
      <w:r w:rsidR="00823F66" w:rsidRPr="00823F66">
        <w:rPr>
          <w:rFonts w:ascii="Arial" w:hAnsi="Arial" w:cs="Arial"/>
          <w:b/>
          <w:sz w:val="22"/>
          <w:szCs w:val="22"/>
        </w:rPr>
        <w:t xml:space="preserve">Recomendación número </w:t>
      </w:r>
      <w:r w:rsidR="00823F66" w:rsidRPr="00823F66">
        <w:rPr>
          <w:rFonts w:ascii="Arial" w:hAnsi="Arial" w:cs="Arial"/>
          <w:b/>
          <w:bCs/>
          <w:sz w:val="22"/>
          <w:szCs w:val="22"/>
        </w:rPr>
        <w:t>02</w:t>
      </w:r>
    </w:p>
    <w:p w14:paraId="50B98F08" w14:textId="77777777" w:rsidR="00823F66" w:rsidRDefault="00823F66" w:rsidP="00823F66">
      <w:pPr>
        <w:pStyle w:val="Forma"/>
        <w:shd w:val="clear" w:color="auto" w:fill="FFFFFF"/>
        <w:spacing w:line="276" w:lineRule="auto"/>
        <w:jc w:val="both"/>
        <w:rPr>
          <w:rFonts w:cs="Arial"/>
          <w:b/>
          <w:bCs/>
          <w:sz w:val="22"/>
          <w:szCs w:val="22"/>
        </w:rPr>
      </w:pPr>
    </w:p>
    <w:p w14:paraId="751591CB" w14:textId="312B8A0E" w:rsidR="00823F66" w:rsidRPr="00823F66" w:rsidRDefault="00823F66" w:rsidP="00823F66">
      <w:pPr>
        <w:pStyle w:val="Forma"/>
        <w:shd w:val="clear" w:color="auto" w:fill="FFFFFF"/>
        <w:spacing w:line="276" w:lineRule="auto"/>
        <w:jc w:val="both"/>
        <w:rPr>
          <w:rFonts w:ascii="Arial" w:hAnsi="Arial" w:cs="Arial"/>
          <w:sz w:val="22"/>
          <w:szCs w:val="22"/>
          <w:lang w:eastAsia="es-MX"/>
        </w:rPr>
      </w:pPr>
      <w:r w:rsidRPr="00823F66">
        <w:rPr>
          <w:rFonts w:ascii="Arial" w:hAnsi="Arial" w:cs="Arial"/>
          <w:sz w:val="22"/>
          <w:szCs w:val="22"/>
        </w:rPr>
        <w:t xml:space="preserve">De la revisión y análisis de la información proporcionada por </w:t>
      </w:r>
      <w:r w:rsidR="00642997">
        <w:rPr>
          <w:rFonts w:ascii="Arial" w:hAnsi="Arial" w:cs="Arial"/>
          <w:sz w:val="22"/>
          <w:szCs w:val="22"/>
        </w:rPr>
        <w:t>Entidad Fiscalizada</w:t>
      </w:r>
      <w:r w:rsidRPr="00823F66">
        <w:rPr>
          <w:rFonts w:ascii="Arial" w:hAnsi="Arial" w:cs="Arial"/>
          <w:sz w:val="22"/>
          <w:szCs w:val="22"/>
        </w:rPr>
        <w:t xml:space="preserve"> se conoció que en el mes de diciembre de 2021 se llevó a cabo el arrendamiento de una impresora para ser utilizada en las instalaciones </w:t>
      </w:r>
      <w:r w:rsidR="00642997">
        <w:rPr>
          <w:rFonts w:ascii="Arial" w:hAnsi="Arial" w:cs="Arial"/>
          <w:sz w:val="22"/>
          <w:szCs w:val="22"/>
        </w:rPr>
        <w:t xml:space="preserve">la misma; </w:t>
      </w:r>
      <w:r w:rsidRPr="00823F66">
        <w:rPr>
          <w:rFonts w:ascii="Arial" w:hAnsi="Arial" w:cs="Arial"/>
          <w:sz w:val="22"/>
          <w:szCs w:val="22"/>
        </w:rPr>
        <w:t>sin embargo, no se tuvo evidencia de suscribir con el proveedor el contrato por el arrendamiento del bien</w:t>
      </w:r>
      <w:r w:rsidR="002A73EA">
        <w:rPr>
          <w:rFonts w:ascii="Arial" w:hAnsi="Arial" w:cs="Arial"/>
          <w:sz w:val="22"/>
          <w:szCs w:val="22"/>
          <w:lang w:eastAsia="es-MX"/>
        </w:rPr>
        <w:t xml:space="preserve">; por lo </w:t>
      </w:r>
      <w:proofErr w:type="gramStart"/>
      <w:r w:rsidR="002A73EA">
        <w:rPr>
          <w:rFonts w:ascii="Arial" w:hAnsi="Arial" w:cs="Arial"/>
          <w:sz w:val="22"/>
          <w:szCs w:val="22"/>
          <w:lang w:eastAsia="es-MX"/>
        </w:rPr>
        <w:t>tanto</w:t>
      </w:r>
      <w:proofErr w:type="gramEnd"/>
      <w:r w:rsidR="002A73EA">
        <w:rPr>
          <w:rFonts w:ascii="Arial" w:hAnsi="Arial" w:cs="Arial"/>
          <w:sz w:val="22"/>
          <w:szCs w:val="22"/>
          <w:lang w:eastAsia="es-MX"/>
        </w:rPr>
        <w:t xml:space="preserve"> se recomendó</w:t>
      </w:r>
      <w:r w:rsidRPr="00823F66">
        <w:rPr>
          <w:rFonts w:ascii="Arial" w:hAnsi="Arial" w:cs="Arial"/>
          <w:sz w:val="22"/>
          <w:szCs w:val="22"/>
          <w:lang w:eastAsia="es-MX"/>
        </w:rPr>
        <w:t xml:space="preserve"> que se implementen los procedimientos y/o mecanismos de control interno para verificar que esta recomendación se lleve a cabo.</w:t>
      </w:r>
    </w:p>
    <w:p w14:paraId="11268616" w14:textId="45DB4A1E" w:rsidR="00D44F58" w:rsidRPr="00674FE2" w:rsidRDefault="00D44F58" w:rsidP="00D44F58">
      <w:pPr>
        <w:rPr>
          <w:rFonts w:cs="Arial"/>
          <w:bCs/>
          <w:szCs w:val="22"/>
        </w:rPr>
      </w:pPr>
    </w:p>
    <w:p w14:paraId="42AF4915" w14:textId="77777777" w:rsidR="00823F66" w:rsidRPr="00F80820" w:rsidRDefault="00823F66" w:rsidP="00823F66">
      <w:pPr>
        <w:pStyle w:val="Prrafodelista"/>
        <w:tabs>
          <w:tab w:val="left" w:pos="851"/>
        </w:tabs>
        <w:ind w:left="0"/>
        <w:rPr>
          <w:rFonts w:ascii="Arial" w:eastAsia="Arial Unicode MS" w:hAnsi="Arial" w:cs="Arial"/>
          <w:szCs w:val="22"/>
          <w:lang w:val="es-ES" w:eastAsia="es-MX"/>
        </w:rPr>
      </w:pPr>
      <w:r>
        <w:rPr>
          <w:rFonts w:ascii="Arial" w:eastAsia="Arial Unicode MS" w:hAnsi="Arial" w:cs="Arial"/>
          <w:szCs w:val="22"/>
          <w:lang w:val="es-ES" w:eastAsia="es-MX"/>
        </w:rPr>
        <w:t>Por lo que se acordó un plazo de seis meses para su atención, conforme a lo señalado en el artículo 60 de la Ley de Fiscalización Superior y Rendición de Cuentas del Estado de Michoacán de Ocampo.</w:t>
      </w:r>
    </w:p>
    <w:p w14:paraId="46F059CF" w14:textId="77777777" w:rsidR="00D44F58" w:rsidRPr="00D44F58" w:rsidRDefault="00D44F58" w:rsidP="00642997">
      <w:pPr>
        <w:pStyle w:val="Prrafodelista"/>
        <w:ind w:left="0"/>
        <w:rPr>
          <w:rFonts w:ascii="Arial" w:hAnsi="Arial" w:cs="Arial"/>
          <w:bCs/>
          <w:szCs w:val="22"/>
          <w:lang w:val="es-ES"/>
        </w:rPr>
      </w:pPr>
    </w:p>
    <w:bookmarkEnd w:id="2"/>
    <w:p w14:paraId="7F695BBF" w14:textId="77777777" w:rsidR="00C73699" w:rsidRPr="00AE4937" w:rsidRDefault="00C73699" w:rsidP="00642997">
      <w:pPr>
        <w:pStyle w:val="Ttulo1"/>
        <w:shd w:val="clear" w:color="auto" w:fill="auto"/>
        <w:spacing w:after="0"/>
        <w:jc w:val="both"/>
        <w:rPr>
          <w:rFonts w:eastAsiaTheme="minorHAnsi"/>
          <w:color w:val="auto"/>
        </w:rPr>
      </w:pPr>
      <w:r w:rsidRPr="00AE4937">
        <w:rPr>
          <w:rFonts w:eastAsiaTheme="minorHAnsi"/>
          <w:color w:val="auto"/>
        </w:rPr>
        <w:t>SÍNTESIS DE LAS JUSTIFICACIONES Y ACLARACIONES</w:t>
      </w:r>
    </w:p>
    <w:p w14:paraId="2018598B" w14:textId="77777777" w:rsidR="002A73EA" w:rsidRDefault="002A73EA" w:rsidP="00642997">
      <w:pPr>
        <w:rPr>
          <w:rFonts w:cs="Arial"/>
          <w:szCs w:val="22"/>
        </w:rPr>
      </w:pPr>
    </w:p>
    <w:p w14:paraId="5AC14B43" w14:textId="71DC908E" w:rsidR="00C73699" w:rsidRPr="00665331" w:rsidRDefault="00DA328E" w:rsidP="00C73699">
      <w:pPr>
        <w:rPr>
          <w:rFonts w:cs="Arial"/>
          <w:szCs w:val="22"/>
        </w:rPr>
      </w:pPr>
      <w:r w:rsidRPr="00DA328E">
        <w:rPr>
          <w:rFonts w:cs="Arial"/>
          <w:szCs w:val="22"/>
        </w:rPr>
        <w:t>Los argumentos proporcionados</w:t>
      </w:r>
      <w:r w:rsidR="00C73699" w:rsidRPr="00DA328E">
        <w:rPr>
          <w:rFonts w:cs="Arial"/>
          <w:szCs w:val="22"/>
        </w:rPr>
        <w:t xml:space="preserve"> por la Entidad Fiscalizada para aclarar o justificar los resultados y las o</w:t>
      </w:r>
      <w:r w:rsidRPr="00DA328E">
        <w:rPr>
          <w:rFonts w:cs="Arial"/>
          <w:szCs w:val="22"/>
        </w:rPr>
        <w:t xml:space="preserve">bservaciones, mediante Acta Circunstanciada y </w:t>
      </w:r>
      <w:r w:rsidR="0083522B" w:rsidRPr="007A041B">
        <w:rPr>
          <w:b/>
          <w:szCs w:val="22"/>
        </w:rPr>
        <w:t xml:space="preserve">escrito </w:t>
      </w:r>
      <w:r w:rsidRPr="00DA328E">
        <w:rPr>
          <w:szCs w:val="22"/>
        </w:rPr>
        <w:t xml:space="preserve">ambos </w:t>
      </w:r>
      <w:r w:rsidR="0083522B" w:rsidRPr="00DA328E">
        <w:rPr>
          <w:szCs w:val="22"/>
        </w:rPr>
        <w:t xml:space="preserve">de fecha 4 cuatro de noviembre </w:t>
      </w:r>
      <w:r w:rsidR="00C73699" w:rsidRPr="00DA328E">
        <w:rPr>
          <w:szCs w:val="22"/>
        </w:rPr>
        <w:t xml:space="preserve">de 2022, </w:t>
      </w:r>
      <w:r w:rsidR="002A73EA">
        <w:rPr>
          <w:szCs w:val="22"/>
        </w:rPr>
        <w:t xml:space="preserve">a los cuales no se anexo documentación </w:t>
      </w:r>
      <w:r w:rsidR="00426DFC">
        <w:rPr>
          <w:szCs w:val="22"/>
        </w:rPr>
        <w:t xml:space="preserve">soporte, </w:t>
      </w:r>
      <w:r w:rsidR="00426DFC">
        <w:rPr>
          <w:rFonts w:cs="Arial"/>
          <w:szCs w:val="22"/>
        </w:rPr>
        <w:t xml:space="preserve">fueron </w:t>
      </w:r>
      <w:r w:rsidR="00642997">
        <w:rPr>
          <w:rFonts w:cs="Arial"/>
          <w:szCs w:val="22"/>
        </w:rPr>
        <w:t>analizadas</w:t>
      </w:r>
      <w:r w:rsidR="00642997" w:rsidRPr="00DA328E">
        <w:rPr>
          <w:rFonts w:cs="Arial"/>
          <w:szCs w:val="22"/>
        </w:rPr>
        <w:t xml:space="preserve"> </w:t>
      </w:r>
      <w:r w:rsidR="00C73699" w:rsidRPr="00DA328E">
        <w:rPr>
          <w:rFonts w:cs="Arial"/>
          <w:szCs w:val="22"/>
        </w:rPr>
        <w:t>con el fin de determinar la procedencia de eliminar, rectificar o ratificar los Resultados y las Observaciones Preliminares determinadas por la Auditoría Superior de Michoacán, las cuales se encuentran descritas en el apartado de Resultados de la Fiscalización Efectuada.</w:t>
      </w:r>
    </w:p>
    <w:p w14:paraId="0E2E6274" w14:textId="77777777" w:rsidR="00642997" w:rsidRDefault="00642997"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lastRenderedPageBreak/>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A9307E" w:rsidRDefault="00C73699" w:rsidP="00C73699">
      <w:pPr>
        <w:pStyle w:val="Sinespaciado"/>
        <w:spacing w:line="276" w:lineRule="auto"/>
        <w:jc w:val="both"/>
        <w:rPr>
          <w:rFonts w:ascii="Arial" w:hAnsi="Arial" w:cs="Arial"/>
        </w:rPr>
      </w:pPr>
    </w:p>
    <w:p w14:paraId="76CFD1B4"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A9307E" w:rsidRDefault="00C73699" w:rsidP="00C73699">
      <w:pPr>
        <w:pStyle w:val="Sinespaciado"/>
        <w:spacing w:line="276" w:lineRule="auto"/>
        <w:jc w:val="both"/>
        <w:rPr>
          <w:rFonts w:ascii="Arial" w:hAnsi="Arial" w:cs="Arial"/>
        </w:rPr>
      </w:pPr>
    </w:p>
    <w:p w14:paraId="63D1669F" w14:textId="00326268" w:rsidR="00823F66" w:rsidRPr="001404D9" w:rsidRDefault="00823F66" w:rsidP="00823F66">
      <w:pPr>
        <w:pStyle w:val="Sinespaciado"/>
        <w:spacing w:line="276" w:lineRule="auto"/>
        <w:jc w:val="both"/>
        <w:rPr>
          <w:rFonts w:ascii="Arial" w:hAnsi="Arial" w:cs="Arial"/>
        </w:rPr>
      </w:pPr>
      <w:r w:rsidRPr="001404D9">
        <w:rPr>
          <w:rFonts w:ascii="Arial" w:hAnsi="Arial" w:cs="Arial"/>
        </w:rPr>
        <w:t xml:space="preserve">En nuestra opinión, la información financiera sujeta a fiscalización, </w:t>
      </w:r>
      <w:r>
        <w:rPr>
          <w:rFonts w:ascii="Arial" w:hAnsi="Arial" w:cs="Arial"/>
        </w:rPr>
        <w:t xml:space="preserve">respecto a los ingresos propios, en base a las pruebas realizadas a los Estados Financieros de la Entidad Fiscalizada mostraron que estos presentan razonabilidad y congruencia respecto a la </w:t>
      </w:r>
      <w:r w:rsidRPr="001404D9">
        <w:rPr>
          <w:rFonts w:ascii="Arial" w:hAnsi="Arial" w:cs="Arial"/>
        </w:rPr>
        <w:t xml:space="preserve">situación contable </w:t>
      </w:r>
      <w:r>
        <w:rPr>
          <w:rFonts w:ascii="Arial" w:hAnsi="Arial" w:cs="Arial"/>
        </w:rPr>
        <w:t>salvo los conceptos de conciliar el inventario físico con el contable; además, del principio de sostenibilidad presupuestal</w:t>
      </w:r>
      <w:r w:rsidRPr="001404D9">
        <w:rPr>
          <w:rFonts w:ascii="Arial" w:hAnsi="Arial" w:cs="Arial"/>
        </w:rPr>
        <w:t xml:space="preserve"> que representan inconsistencias y/o incumplimientos del marco normativo, sobre el cual se instaurarán procedimientos de investigación y se elaboran los Informes de Presuntas Irregularidades, en los términos legales aplicables.</w:t>
      </w:r>
    </w:p>
    <w:p w14:paraId="42DE3ABF" w14:textId="77777777" w:rsidR="00C73699" w:rsidRPr="00660D69" w:rsidRDefault="00C73699" w:rsidP="00C73699">
      <w:pPr>
        <w:pStyle w:val="Sinespaciado"/>
        <w:spacing w:line="276" w:lineRule="auto"/>
        <w:jc w:val="both"/>
        <w:rPr>
          <w:rFonts w:ascii="Arial" w:hAnsi="Arial" w:cs="Arial"/>
          <w:highlight w:val="yellow"/>
        </w:rPr>
      </w:pPr>
    </w:p>
    <w:p w14:paraId="62808EAC" w14:textId="65C22105" w:rsidR="00C73699" w:rsidRDefault="00C73699" w:rsidP="00C73699">
      <w:pPr>
        <w:pStyle w:val="Sinespaciado"/>
        <w:spacing w:line="276" w:lineRule="auto"/>
        <w:jc w:val="both"/>
        <w:rPr>
          <w:rFonts w:ascii="Arial" w:hAnsi="Arial" w:cs="Arial"/>
        </w:rPr>
      </w:pPr>
      <w:r w:rsidRPr="00DA328E">
        <w:rPr>
          <w:rFonts w:ascii="Arial" w:hAnsi="Arial" w:cs="Arial"/>
        </w:rPr>
        <w:t xml:space="preserve">En el proceso de fiscalización se identificaron áreas de oportunidad para un mejor funcionamiento de la Entidad Fiscalizada, toda vez que se </w:t>
      </w:r>
      <w:r w:rsidR="00E46B8F">
        <w:rPr>
          <w:rFonts w:ascii="Arial" w:hAnsi="Arial" w:cs="Arial"/>
        </w:rPr>
        <w:t>conocieron</w:t>
      </w:r>
      <w:r w:rsidRPr="00DA328E">
        <w:rPr>
          <w:rFonts w:ascii="Arial" w:hAnsi="Arial" w:cs="Arial"/>
        </w:rPr>
        <w:t xml:space="preserve"> debilidades</w:t>
      </w:r>
      <w:r w:rsidR="00823F66">
        <w:rPr>
          <w:rFonts w:ascii="Arial" w:hAnsi="Arial" w:cs="Arial"/>
        </w:rPr>
        <w:t xml:space="preserve">, en la falta de </w:t>
      </w:r>
      <w:r w:rsidR="00823F66" w:rsidRPr="00D44F58">
        <w:rPr>
          <w:rFonts w:ascii="Arial" w:hAnsi="Arial" w:cs="Arial"/>
        </w:rPr>
        <w:t>acreditamiento y solicitud de devolución del Impuesto al Valor Agregado</w:t>
      </w:r>
      <w:r w:rsidR="00823F66">
        <w:rPr>
          <w:rFonts w:ascii="Arial" w:hAnsi="Arial" w:cs="Arial"/>
        </w:rPr>
        <w:t>, así como la concertación de contratos por servicios</w:t>
      </w:r>
      <w:r w:rsidR="009623D8">
        <w:rPr>
          <w:rFonts w:ascii="Arial" w:hAnsi="Arial" w:cs="Arial"/>
        </w:rPr>
        <w:t xml:space="preserve"> prestados a</w:t>
      </w:r>
      <w:r w:rsidR="00823F66">
        <w:rPr>
          <w:rFonts w:ascii="Arial" w:hAnsi="Arial" w:cs="Arial"/>
        </w:rPr>
        <w:t xml:space="preserve"> la Entidad Fiscalizada</w:t>
      </w:r>
      <w:r w:rsidRPr="00DA328E">
        <w:rPr>
          <w:rFonts w:ascii="Arial" w:hAnsi="Arial" w:cs="Arial"/>
        </w:rPr>
        <w:t xml:space="preserve"> las cuales se precisan en el apartado de Resultados de la Fiscalización efectuada.</w:t>
      </w:r>
    </w:p>
    <w:p w14:paraId="78EE3BCA" w14:textId="77777777" w:rsidR="00C73699" w:rsidRPr="00665331" w:rsidRDefault="00C73699" w:rsidP="00C73699">
      <w:pPr>
        <w:pStyle w:val="Sinespaciado"/>
        <w:spacing w:line="276" w:lineRule="auto"/>
        <w:jc w:val="both"/>
        <w:rPr>
          <w:rFonts w:ascii="Arial" w:eastAsia="Arial" w:hAnsi="Arial" w:cs="Arial"/>
        </w:rPr>
      </w:pPr>
    </w:p>
    <w:p w14:paraId="6678B662" w14:textId="77777777" w:rsidR="00C73699" w:rsidRPr="00102227" w:rsidRDefault="00C73699" w:rsidP="00C73699">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sectPr w:rsidR="00C73699" w:rsidRPr="00102227" w:rsidSect="005054B6">
      <w:headerReference w:type="default" r:id="rId9"/>
      <w:footerReference w:type="default" r:id="rId10"/>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C0403" w14:textId="77777777" w:rsidR="002D48BD" w:rsidRDefault="002D48BD" w:rsidP="00864A97">
      <w:r>
        <w:separator/>
      </w:r>
    </w:p>
  </w:endnote>
  <w:endnote w:type="continuationSeparator" w:id="0">
    <w:p w14:paraId="4421AD05" w14:textId="77777777" w:rsidR="002D48BD" w:rsidRDefault="002D48BD"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31580C">
              <w:rPr>
                <w:rFonts w:ascii="Arial" w:hAnsi="Arial" w:cs="Arial"/>
                <w:noProof/>
                <w:sz w:val="18"/>
                <w:szCs w:val="18"/>
              </w:rPr>
              <w:t>8</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31580C">
              <w:rPr>
                <w:rFonts w:ascii="Arial" w:hAnsi="Arial" w:cs="Arial"/>
                <w:noProof/>
                <w:sz w:val="18"/>
                <w:szCs w:val="18"/>
              </w:rPr>
              <w:t>8</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2D48BD"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5C28C" w14:textId="77777777" w:rsidR="002D48BD" w:rsidRDefault="002D48BD" w:rsidP="00864A97">
      <w:r>
        <w:separator/>
      </w:r>
    </w:p>
  </w:footnote>
  <w:footnote w:type="continuationSeparator" w:id="0">
    <w:p w14:paraId="6A2DCC15" w14:textId="77777777" w:rsidR="002D48BD" w:rsidRDefault="002D48BD"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5"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9BC5CA6"/>
    <w:multiLevelType w:val="hybridMultilevel"/>
    <w:tmpl w:val="16E0F5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6"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985310928">
    <w:abstractNumId w:val="20"/>
  </w:num>
  <w:num w:numId="2" w16cid:durableId="1324509746">
    <w:abstractNumId w:val="21"/>
  </w:num>
  <w:num w:numId="3" w16cid:durableId="506795834">
    <w:abstractNumId w:val="9"/>
  </w:num>
  <w:num w:numId="4" w16cid:durableId="1169977437">
    <w:abstractNumId w:val="24"/>
  </w:num>
  <w:num w:numId="5" w16cid:durableId="631404214">
    <w:abstractNumId w:val="35"/>
  </w:num>
  <w:num w:numId="6" w16cid:durableId="1114447380">
    <w:abstractNumId w:val="28"/>
  </w:num>
  <w:num w:numId="7" w16cid:durableId="1030684963">
    <w:abstractNumId w:val="32"/>
  </w:num>
  <w:num w:numId="8" w16cid:durableId="38097549">
    <w:abstractNumId w:val="3"/>
  </w:num>
  <w:num w:numId="9" w16cid:durableId="1824151570">
    <w:abstractNumId w:val="31"/>
  </w:num>
  <w:num w:numId="10" w16cid:durableId="1047872052">
    <w:abstractNumId w:val="26"/>
  </w:num>
  <w:num w:numId="11" w16cid:durableId="492795386">
    <w:abstractNumId w:val="11"/>
  </w:num>
  <w:num w:numId="12" w16cid:durableId="456917287">
    <w:abstractNumId w:val="1"/>
  </w:num>
  <w:num w:numId="13" w16cid:durableId="307054252">
    <w:abstractNumId w:val="8"/>
  </w:num>
  <w:num w:numId="14" w16cid:durableId="363022452">
    <w:abstractNumId w:val="18"/>
  </w:num>
  <w:num w:numId="15" w16cid:durableId="1738093593">
    <w:abstractNumId w:val="27"/>
  </w:num>
  <w:num w:numId="16" w16cid:durableId="412048505">
    <w:abstractNumId w:val="16"/>
  </w:num>
  <w:num w:numId="17" w16cid:durableId="558784488">
    <w:abstractNumId w:val="34"/>
  </w:num>
  <w:num w:numId="18" w16cid:durableId="1779445746">
    <w:abstractNumId w:val="7"/>
  </w:num>
  <w:num w:numId="19" w16cid:durableId="229115626">
    <w:abstractNumId w:val="22"/>
  </w:num>
  <w:num w:numId="20" w16cid:durableId="1206411420">
    <w:abstractNumId w:val="33"/>
  </w:num>
  <w:num w:numId="21" w16cid:durableId="218395805">
    <w:abstractNumId w:val="36"/>
  </w:num>
  <w:num w:numId="22" w16cid:durableId="1194613656">
    <w:abstractNumId w:val="2"/>
  </w:num>
  <w:num w:numId="23" w16cid:durableId="1280646297">
    <w:abstractNumId w:val="4"/>
  </w:num>
  <w:num w:numId="24" w16cid:durableId="1295872624">
    <w:abstractNumId w:val="15"/>
  </w:num>
  <w:num w:numId="25" w16cid:durableId="858012380">
    <w:abstractNumId w:val="19"/>
  </w:num>
  <w:num w:numId="26" w16cid:durableId="1319184816">
    <w:abstractNumId w:val="12"/>
  </w:num>
  <w:num w:numId="27" w16cid:durableId="769273654">
    <w:abstractNumId w:val="17"/>
  </w:num>
  <w:num w:numId="28" w16cid:durableId="889270448">
    <w:abstractNumId w:val="10"/>
  </w:num>
  <w:num w:numId="29" w16cid:durableId="349571709">
    <w:abstractNumId w:val="6"/>
  </w:num>
  <w:num w:numId="30" w16cid:durableId="297881240">
    <w:abstractNumId w:val="13"/>
  </w:num>
  <w:num w:numId="31" w16cid:durableId="1978412134">
    <w:abstractNumId w:val="0"/>
  </w:num>
  <w:num w:numId="32" w16cid:durableId="1848052955">
    <w:abstractNumId w:val="29"/>
  </w:num>
  <w:num w:numId="33" w16cid:durableId="380592697">
    <w:abstractNumId w:val="23"/>
  </w:num>
  <w:num w:numId="34" w16cid:durableId="1782145997">
    <w:abstractNumId w:val="14"/>
  </w:num>
  <w:num w:numId="35" w16cid:durableId="187375200">
    <w:abstractNumId w:val="5"/>
  </w:num>
  <w:num w:numId="36" w16cid:durableId="451215489">
    <w:abstractNumId w:val="25"/>
  </w:num>
  <w:num w:numId="37" w16cid:durableId="1668828087">
    <w:abstractNumId w:val="37"/>
  </w:num>
  <w:num w:numId="38" w16cid:durableId="2019577388">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2043B"/>
    <w:rsid w:val="00021DC0"/>
    <w:rsid w:val="00027342"/>
    <w:rsid w:val="0003018C"/>
    <w:rsid w:val="00031A96"/>
    <w:rsid w:val="00036FED"/>
    <w:rsid w:val="00040688"/>
    <w:rsid w:val="00040A50"/>
    <w:rsid w:val="0004305C"/>
    <w:rsid w:val="00051F03"/>
    <w:rsid w:val="0005237A"/>
    <w:rsid w:val="000563EB"/>
    <w:rsid w:val="00071CF3"/>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6595"/>
    <w:rsid w:val="00161FB3"/>
    <w:rsid w:val="00165E78"/>
    <w:rsid w:val="00166ECA"/>
    <w:rsid w:val="001709D2"/>
    <w:rsid w:val="00181FC4"/>
    <w:rsid w:val="00182602"/>
    <w:rsid w:val="0018452E"/>
    <w:rsid w:val="001954FE"/>
    <w:rsid w:val="00197A36"/>
    <w:rsid w:val="001A3191"/>
    <w:rsid w:val="001A63F7"/>
    <w:rsid w:val="001A6729"/>
    <w:rsid w:val="001B0577"/>
    <w:rsid w:val="001B17F4"/>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5CA1"/>
    <w:rsid w:val="00284C10"/>
    <w:rsid w:val="00291281"/>
    <w:rsid w:val="002922CA"/>
    <w:rsid w:val="00292746"/>
    <w:rsid w:val="00296329"/>
    <w:rsid w:val="00296B75"/>
    <w:rsid w:val="002A1F45"/>
    <w:rsid w:val="002A73EA"/>
    <w:rsid w:val="002B34FD"/>
    <w:rsid w:val="002C37D7"/>
    <w:rsid w:val="002D1223"/>
    <w:rsid w:val="002D418D"/>
    <w:rsid w:val="002D48BD"/>
    <w:rsid w:val="002D4B43"/>
    <w:rsid w:val="002D4FB4"/>
    <w:rsid w:val="002D5253"/>
    <w:rsid w:val="002E03E5"/>
    <w:rsid w:val="002E08E8"/>
    <w:rsid w:val="002E16B2"/>
    <w:rsid w:val="002E24B4"/>
    <w:rsid w:val="002F17FF"/>
    <w:rsid w:val="003022D0"/>
    <w:rsid w:val="00302713"/>
    <w:rsid w:val="0031580C"/>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589F"/>
    <w:rsid w:val="0037545D"/>
    <w:rsid w:val="00376D1F"/>
    <w:rsid w:val="003806FD"/>
    <w:rsid w:val="00385F15"/>
    <w:rsid w:val="003862C2"/>
    <w:rsid w:val="00386D09"/>
    <w:rsid w:val="00390412"/>
    <w:rsid w:val="0039609F"/>
    <w:rsid w:val="00397F30"/>
    <w:rsid w:val="003A277A"/>
    <w:rsid w:val="003A347B"/>
    <w:rsid w:val="003A522F"/>
    <w:rsid w:val="003B2BC4"/>
    <w:rsid w:val="003B4D37"/>
    <w:rsid w:val="003B5666"/>
    <w:rsid w:val="003C258E"/>
    <w:rsid w:val="003C28EA"/>
    <w:rsid w:val="003C2F99"/>
    <w:rsid w:val="003C4C6C"/>
    <w:rsid w:val="003C5EE6"/>
    <w:rsid w:val="003C611A"/>
    <w:rsid w:val="003C6305"/>
    <w:rsid w:val="003C6318"/>
    <w:rsid w:val="003C729F"/>
    <w:rsid w:val="003C7A71"/>
    <w:rsid w:val="003D38DC"/>
    <w:rsid w:val="003D7B20"/>
    <w:rsid w:val="003E71D3"/>
    <w:rsid w:val="003F6194"/>
    <w:rsid w:val="003F6EC6"/>
    <w:rsid w:val="00403CC8"/>
    <w:rsid w:val="00410C61"/>
    <w:rsid w:val="00411190"/>
    <w:rsid w:val="004112D3"/>
    <w:rsid w:val="0041692A"/>
    <w:rsid w:val="00417579"/>
    <w:rsid w:val="004176EA"/>
    <w:rsid w:val="0041775E"/>
    <w:rsid w:val="00421DA2"/>
    <w:rsid w:val="00423887"/>
    <w:rsid w:val="00424C15"/>
    <w:rsid w:val="00426DFC"/>
    <w:rsid w:val="00435684"/>
    <w:rsid w:val="00442797"/>
    <w:rsid w:val="004461DD"/>
    <w:rsid w:val="00451606"/>
    <w:rsid w:val="00453540"/>
    <w:rsid w:val="00461D4A"/>
    <w:rsid w:val="00462A20"/>
    <w:rsid w:val="00476348"/>
    <w:rsid w:val="004769B5"/>
    <w:rsid w:val="004804FC"/>
    <w:rsid w:val="00483F8E"/>
    <w:rsid w:val="00487DA1"/>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1ECC"/>
    <w:rsid w:val="00594428"/>
    <w:rsid w:val="00595C2F"/>
    <w:rsid w:val="00597C25"/>
    <w:rsid w:val="005A4B09"/>
    <w:rsid w:val="005A6E32"/>
    <w:rsid w:val="005A72B2"/>
    <w:rsid w:val="005B110D"/>
    <w:rsid w:val="005B2FB4"/>
    <w:rsid w:val="005B7B10"/>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4306"/>
    <w:rsid w:val="00606102"/>
    <w:rsid w:val="006112ED"/>
    <w:rsid w:val="0061708C"/>
    <w:rsid w:val="006207E0"/>
    <w:rsid w:val="006214D1"/>
    <w:rsid w:val="00622356"/>
    <w:rsid w:val="00626CB9"/>
    <w:rsid w:val="00627D7F"/>
    <w:rsid w:val="00630B24"/>
    <w:rsid w:val="00632722"/>
    <w:rsid w:val="00635FA5"/>
    <w:rsid w:val="00637E01"/>
    <w:rsid w:val="00641CF7"/>
    <w:rsid w:val="00642997"/>
    <w:rsid w:val="00642FD2"/>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335E"/>
    <w:rsid w:val="006B1BF3"/>
    <w:rsid w:val="006B2499"/>
    <w:rsid w:val="006C0A6B"/>
    <w:rsid w:val="006C2928"/>
    <w:rsid w:val="006C46CC"/>
    <w:rsid w:val="006C4FF8"/>
    <w:rsid w:val="006C7C59"/>
    <w:rsid w:val="006D3321"/>
    <w:rsid w:val="006D749D"/>
    <w:rsid w:val="006E066E"/>
    <w:rsid w:val="006E2B2A"/>
    <w:rsid w:val="006E6B5C"/>
    <w:rsid w:val="006E7431"/>
    <w:rsid w:val="006F1B71"/>
    <w:rsid w:val="006F5671"/>
    <w:rsid w:val="006F5890"/>
    <w:rsid w:val="006F72E8"/>
    <w:rsid w:val="00704C32"/>
    <w:rsid w:val="007078A6"/>
    <w:rsid w:val="00711C17"/>
    <w:rsid w:val="00712E94"/>
    <w:rsid w:val="007177DF"/>
    <w:rsid w:val="00726A63"/>
    <w:rsid w:val="00726B4C"/>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6487"/>
    <w:rsid w:val="00787351"/>
    <w:rsid w:val="007933C4"/>
    <w:rsid w:val="00794DEC"/>
    <w:rsid w:val="0079767E"/>
    <w:rsid w:val="007A041B"/>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3F66"/>
    <w:rsid w:val="00824878"/>
    <w:rsid w:val="00831C45"/>
    <w:rsid w:val="0083522B"/>
    <w:rsid w:val="00835BA2"/>
    <w:rsid w:val="00842542"/>
    <w:rsid w:val="00844C19"/>
    <w:rsid w:val="00845304"/>
    <w:rsid w:val="0085643C"/>
    <w:rsid w:val="008611DA"/>
    <w:rsid w:val="00861ABB"/>
    <w:rsid w:val="00864A97"/>
    <w:rsid w:val="00865805"/>
    <w:rsid w:val="008702B2"/>
    <w:rsid w:val="00870D5E"/>
    <w:rsid w:val="0087190A"/>
    <w:rsid w:val="008758B2"/>
    <w:rsid w:val="00877C82"/>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85B"/>
    <w:rsid w:val="00911023"/>
    <w:rsid w:val="009120A3"/>
    <w:rsid w:val="00913DE2"/>
    <w:rsid w:val="009152DA"/>
    <w:rsid w:val="00921B03"/>
    <w:rsid w:val="00922CB1"/>
    <w:rsid w:val="00925083"/>
    <w:rsid w:val="00926D22"/>
    <w:rsid w:val="00934CEF"/>
    <w:rsid w:val="00934F1D"/>
    <w:rsid w:val="0093587B"/>
    <w:rsid w:val="00940992"/>
    <w:rsid w:val="00941E8E"/>
    <w:rsid w:val="0094489B"/>
    <w:rsid w:val="00944A63"/>
    <w:rsid w:val="009450A9"/>
    <w:rsid w:val="0094628D"/>
    <w:rsid w:val="00946B1D"/>
    <w:rsid w:val="0095283F"/>
    <w:rsid w:val="00957595"/>
    <w:rsid w:val="009623D8"/>
    <w:rsid w:val="00965D2B"/>
    <w:rsid w:val="00966B11"/>
    <w:rsid w:val="00967DBF"/>
    <w:rsid w:val="00972A30"/>
    <w:rsid w:val="0097422B"/>
    <w:rsid w:val="0097507D"/>
    <w:rsid w:val="00975B82"/>
    <w:rsid w:val="009805B3"/>
    <w:rsid w:val="0098277C"/>
    <w:rsid w:val="00984A80"/>
    <w:rsid w:val="00985E6E"/>
    <w:rsid w:val="00990361"/>
    <w:rsid w:val="00991251"/>
    <w:rsid w:val="009916ED"/>
    <w:rsid w:val="00994EE4"/>
    <w:rsid w:val="009954CC"/>
    <w:rsid w:val="009A58D6"/>
    <w:rsid w:val="009A6E85"/>
    <w:rsid w:val="009A7075"/>
    <w:rsid w:val="009A716F"/>
    <w:rsid w:val="009B0721"/>
    <w:rsid w:val="009B118A"/>
    <w:rsid w:val="009B4F7E"/>
    <w:rsid w:val="009B53A9"/>
    <w:rsid w:val="009C26C8"/>
    <w:rsid w:val="009C56F3"/>
    <w:rsid w:val="009D0E93"/>
    <w:rsid w:val="009D31C8"/>
    <w:rsid w:val="009D3DDD"/>
    <w:rsid w:val="009E0C12"/>
    <w:rsid w:val="009E4108"/>
    <w:rsid w:val="009F1CD2"/>
    <w:rsid w:val="009F6796"/>
    <w:rsid w:val="009F74FB"/>
    <w:rsid w:val="00A01C8A"/>
    <w:rsid w:val="00A05B75"/>
    <w:rsid w:val="00A141EE"/>
    <w:rsid w:val="00A168BC"/>
    <w:rsid w:val="00A175F8"/>
    <w:rsid w:val="00A219F3"/>
    <w:rsid w:val="00A266AE"/>
    <w:rsid w:val="00A27D64"/>
    <w:rsid w:val="00A31A3D"/>
    <w:rsid w:val="00A45C31"/>
    <w:rsid w:val="00A57934"/>
    <w:rsid w:val="00A62668"/>
    <w:rsid w:val="00A62AE9"/>
    <w:rsid w:val="00A66C74"/>
    <w:rsid w:val="00A71F9D"/>
    <w:rsid w:val="00A74934"/>
    <w:rsid w:val="00A750A1"/>
    <w:rsid w:val="00A76081"/>
    <w:rsid w:val="00A76A74"/>
    <w:rsid w:val="00A80B34"/>
    <w:rsid w:val="00A879F1"/>
    <w:rsid w:val="00A9307E"/>
    <w:rsid w:val="00AA01C5"/>
    <w:rsid w:val="00AA5905"/>
    <w:rsid w:val="00AA710F"/>
    <w:rsid w:val="00AB107F"/>
    <w:rsid w:val="00AB14BE"/>
    <w:rsid w:val="00AB1903"/>
    <w:rsid w:val="00AB2999"/>
    <w:rsid w:val="00AB55DF"/>
    <w:rsid w:val="00AC3E4B"/>
    <w:rsid w:val="00AC4052"/>
    <w:rsid w:val="00AC6EF4"/>
    <w:rsid w:val="00AC7BA1"/>
    <w:rsid w:val="00AD066B"/>
    <w:rsid w:val="00AD2C96"/>
    <w:rsid w:val="00AD70E6"/>
    <w:rsid w:val="00AE48D0"/>
    <w:rsid w:val="00AE4F47"/>
    <w:rsid w:val="00AF10E4"/>
    <w:rsid w:val="00AF511A"/>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55A7C"/>
    <w:rsid w:val="00B66408"/>
    <w:rsid w:val="00B71181"/>
    <w:rsid w:val="00B7192F"/>
    <w:rsid w:val="00B74E5D"/>
    <w:rsid w:val="00B77048"/>
    <w:rsid w:val="00B96E56"/>
    <w:rsid w:val="00B96F9F"/>
    <w:rsid w:val="00BA206A"/>
    <w:rsid w:val="00BA360F"/>
    <w:rsid w:val="00BA6B49"/>
    <w:rsid w:val="00BB022B"/>
    <w:rsid w:val="00BB1D8C"/>
    <w:rsid w:val="00BB3531"/>
    <w:rsid w:val="00BB4680"/>
    <w:rsid w:val="00BB551C"/>
    <w:rsid w:val="00BB72C3"/>
    <w:rsid w:val="00BC3282"/>
    <w:rsid w:val="00BD0072"/>
    <w:rsid w:val="00BD4AE6"/>
    <w:rsid w:val="00BD6C4A"/>
    <w:rsid w:val="00BE0C5D"/>
    <w:rsid w:val="00BE3AC9"/>
    <w:rsid w:val="00BE5432"/>
    <w:rsid w:val="00BE7B39"/>
    <w:rsid w:val="00BF1EAE"/>
    <w:rsid w:val="00C030DD"/>
    <w:rsid w:val="00C04E80"/>
    <w:rsid w:val="00C1058C"/>
    <w:rsid w:val="00C13F66"/>
    <w:rsid w:val="00C1489C"/>
    <w:rsid w:val="00C157AA"/>
    <w:rsid w:val="00C15987"/>
    <w:rsid w:val="00C16275"/>
    <w:rsid w:val="00C162A7"/>
    <w:rsid w:val="00C23AC0"/>
    <w:rsid w:val="00C40FA2"/>
    <w:rsid w:val="00C42152"/>
    <w:rsid w:val="00C42B18"/>
    <w:rsid w:val="00C436C2"/>
    <w:rsid w:val="00C4660F"/>
    <w:rsid w:val="00C541C5"/>
    <w:rsid w:val="00C54A76"/>
    <w:rsid w:val="00C55326"/>
    <w:rsid w:val="00C6129D"/>
    <w:rsid w:val="00C62813"/>
    <w:rsid w:val="00C65960"/>
    <w:rsid w:val="00C66E3B"/>
    <w:rsid w:val="00C67EC7"/>
    <w:rsid w:val="00C73699"/>
    <w:rsid w:val="00C76867"/>
    <w:rsid w:val="00C87A12"/>
    <w:rsid w:val="00C92F1D"/>
    <w:rsid w:val="00CA04DE"/>
    <w:rsid w:val="00CA22F3"/>
    <w:rsid w:val="00CA3A4F"/>
    <w:rsid w:val="00CA4925"/>
    <w:rsid w:val="00CB0B42"/>
    <w:rsid w:val="00CB15CF"/>
    <w:rsid w:val="00CB1B83"/>
    <w:rsid w:val="00CB4A86"/>
    <w:rsid w:val="00CB6E5E"/>
    <w:rsid w:val="00CB70D0"/>
    <w:rsid w:val="00CB7596"/>
    <w:rsid w:val="00CC02C3"/>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3D41"/>
    <w:rsid w:val="00D178C2"/>
    <w:rsid w:val="00D25585"/>
    <w:rsid w:val="00D30635"/>
    <w:rsid w:val="00D3648D"/>
    <w:rsid w:val="00D37448"/>
    <w:rsid w:val="00D44F58"/>
    <w:rsid w:val="00D47005"/>
    <w:rsid w:val="00D51494"/>
    <w:rsid w:val="00D5466F"/>
    <w:rsid w:val="00D619B9"/>
    <w:rsid w:val="00D63B8D"/>
    <w:rsid w:val="00D76652"/>
    <w:rsid w:val="00D81586"/>
    <w:rsid w:val="00D83CA3"/>
    <w:rsid w:val="00D8427E"/>
    <w:rsid w:val="00D86893"/>
    <w:rsid w:val="00D91209"/>
    <w:rsid w:val="00D930C4"/>
    <w:rsid w:val="00DA328E"/>
    <w:rsid w:val="00DA452F"/>
    <w:rsid w:val="00DA64F8"/>
    <w:rsid w:val="00DA6647"/>
    <w:rsid w:val="00DB451A"/>
    <w:rsid w:val="00DB74A1"/>
    <w:rsid w:val="00DC3C4D"/>
    <w:rsid w:val="00DC497E"/>
    <w:rsid w:val="00DC6D53"/>
    <w:rsid w:val="00DD2D06"/>
    <w:rsid w:val="00DD5B89"/>
    <w:rsid w:val="00DD5E90"/>
    <w:rsid w:val="00DD75BE"/>
    <w:rsid w:val="00DE0C81"/>
    <w:rsid w:val="00DE4564"/>
    <w:rsid w:val="00DF07BF"/>
    <w:rsid w:val="00DF19BC"/>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46B8F"/>
    <w:rsid w:val="00E52721"/>
    <w:rsid w:val="00E5353C"/>
    <w:rsid w:val="00E55A18"/>
    <w:rsid w:val="00E56240"/>
    <w:rsid w:val="00E56322"/>
    <w:rsid w:val="00E563D5"/>
    <w:rsid w:val="00E57742"/>
    <w:rsid w:val="00E602DF"/>
    <w:rsid w:val="00E61B69"/>
    <w:rsid w:val="00E62428"/>
    <w:rsid w:val="00E643C7"/>
    <w:rsid w:val="00E66CA0"/>
    <w:rsid w:val="00E673BF"/>
    <w:rsid w:val="00E722B7"/>
    <w:rsid w:val="00E839F2"/>
    <w:rsid w:val="00E866F6"/>
    <w:rsid w:val="00EA0B43"/>
    <w:rsid w:val="00EA19D6"/>
    <w:rsid w:val="00EA2A0C"/>
    <w:rsid w:val="00EA40F5"/>
    <w:rsid w:val="00EA51C7"/>
    <w:rsid w:val="00EA653B"/>
    <w:rsid w:val="00EB6AFE"/>
    <w:rsid w:val="00EC6268"/>
    <w:rsid w:val="00EC7192"/>
    <w:rsid w:val="00ED0CF0"/>
    <w:rsid w:val="00ED3422"/>
    <w:rsid w:val="00ED4501"/>
    <w:rsid w:val="00ED5F08"/>
    <w:rsid w:val="00ED7280"/>
    <w:rsid w:val="00EE15EF"/>
    <w:rsid w:val="00EE3E20"/>
    <w:rsid w:val="00EE4D72"/>
    <w:rsid w:val="00EE723F"/>
    <w:rsid w:val="00EF7458"/>
    <w:rsid w:val="00F00E80"/>
    <w:rsid w:val="00F0195E"/>
    <w:rsid w:val="00F033EC"/>
    <w:rsid w:val="00F175B6"/>
    <w:rsid w:val="00F21CD6"/>
    <w:rsid w:val="00F270AE"/>
    <w:rsid w:val="00F27729"/>
    <w:rsid w:val="00F30EA5"/>
    <w:rsid w:val="00F32564"/>
    <w:rsid w:val="00F34062"/>
    <w:rsid w:val="00F36431"/>
    <w:rsid w:val="00F40E12"/>
    <w:rsid w:val="00F42F9C"/>
    <w:rsid w:val="00F4585E"/>
    <w:rsid w:val="00F51B7A"/>
    <w:rsid w:val="00F54C8A"/>
    <w:rsid w:val="00F55B45"/>
    <w:rsid w:val="00F561CC"/>
    <w:rsid w:val="00F618F4"/>
    <w:rsid w:val="00F63809"/>
    <w:rsid w:val="00F64158"/>
    <w:rsid w:val="00F64578"/>
    <w:rsid w:val="00F74716"/>
    <w:rsid w:val="00F75869"/>
    <w:rsid w:val="00F81129"/>
    <w:rsid w:val="00F90C4F"/>
    <w:rsid w:val="00F91808"/>
    <w:rsid w:val="00F9508A"/>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F58"/>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table" w:customStyle="1" w:styleId="Estilodetabla1">
    <w:name w:val="Estilo de tabla1"/>
    <w:basedOn w:val="Tablamoderna"/>
    <w:rsid w:val="00165E78"/>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lalpujahua.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9CECB-9F8B-4DB7-A401-73C407283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7</Pages>
  <Words>2143</Words>
  <Characters>11791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26</cp:revision>
  <cp:lastPrinted>2023-02-01T03:05:00Z</cp:lastPrinted>
  <dcterms:created xsi:type="dcterms:W3CDTF">2022-12-27T16:37:00Z</dcterms:created>
  <dcterms:modified xsi:type="dcterms:W3CDTF">2023-02-01T03:05:00Z</dcterms:modified>
</cp:coreProperties>
</file>